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tiff" ContentType="image/tiff"/>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3AB6" w:rsidRPr="009E6A51" w:rsidRDefault="00B342B0" w:rsidP="00224B56">
      <w:pPr>
        <w:jc w:val="center"/>
        <w:rPr>
          <w:b/>
          <w:sz w:val="36"/>
          <w:szCs w:val="36"/>
          <w:lang w:val="en-US"/>
        </w:rPr>
      </w:pPr>
      <w:r w:rsidRPr="009E6A51">
        <w:rPr>
          <w:b/>
          <w:sz w:val="36"/>
          <w:szCs w:val="36"/>
          <w:lang w:val="en-US"/>
        </w:rPr>
        <w:t>Supplementary material for</w:t>
      </w:r>
    </w:p>
    <w:p w:rsidR="00B342B0" w:rsidRDefault="00B342B0" w:rsidP="00224B56">
      <w:pPr>
        <w:jc w:val="center"/>
        <w:rPr>
          <w:b/>
          <w:sz w:val="36"/>
          <w:szCs w:val="36"/>
          <w:lang w:val="en-US"/>
        </w:rPr>
      </w:pPr>
      <w:r w:rsidRPr="009E6A51">
        <w:rPr>
          <w:b/>
          <w:sz w:val="36"/>
          <w:szCs w:val="36"/>
          <w:lang w:val="en-US"/>
        </w:rPr>
        <w:t xml:space="preserve">Section 3.1 </w:t>
      </w:r>
      <w:r w:rsidR="00224B56" w:rsidRPr="009E6A51">
        <w:rPr>
          <w:b/>
          <w:sz w:val="36"/>
          <w:szCs w:val="36"/>
          <w:lang w:val="en-US"/>
        </w:rPr>
        <w:t>Climatic Drivers</w:t>
      </w:r>
    </w:p>
    <w:p w:rsidR="001B729D" w:rsidRPr="001B729D" w:rsidRDefault="001B729D" w:rsidP="00224B56">
      <w:pPr>
        <w:jc w:val="center"/>
        <w:rPr>
          <w:sz w:val="24"/>
          <w:szCs w:val="24"/>
          <w:lang w:val="en-US"/>
        </w:rPr>
      </w:pPr>
      <w:r w:rsidRPr="001B729D">
        <w:rPr>
          <w:sz w:val="24"/>
          <w:szCs w:val="24"/>
          <w:lang w:val="en-US"/>
        </w:rPr>
        <w:t>September 15, 2016</w:t>
      </w:r>
    </w:p>
    <w:p w:rsidR="00B342B0" w:rsidRPr="009E6A51" w:rsidRDefault="00224B56" w:rsidP="00224B56">
      <w:pPr>
        <w:jc w:val="both"/>
        <w:rPr>
          <w:i/>
          <w:sz w:val="24"/>
          <w:szCs w:val="24"/>
          <w:lang w:val="en-US"/>
        </w:rPr>
      </w:pPr>
      <w:r w:rsidRPr="009E6A51">
        <w:rPr>
          <w:i/>
          <w:sz w:val="24"/>
          <w:szCs w:val="24"/>
          <w:lang w:val="en-US"/>
        </w:rPr>
        <w:t xml:space="preserve">Lead Authors:  Peter Lang </w:t>
      </w:r>
      <w:proofErr w:type="spellStart"/>
      <w:r w:rsidRPr="009E6A51">
        <w:rPr>
          <w:i/>
          <w:sz w:val="24"/>
          <w:szCs w:val="24"/>
          <w:lang w:val="en-US"/>
        </w:rPr>
        <w:t>Langen</w:t>
      </w:r>
      <w:proofErr w:type="spellEnd"/>
      <w:r w:rsidRPr="009E6A51">
        <w:rPr>
          <w:i/>
          <w:sz w:val="24"/>
          <w:szCs w:val="24"/>
          <w:lang w:val="en-US"/>
        </w:rPr>
        <w:t xml:space="preserve"> (Danish Meteorological Institute); Patrick </w:t>
      </w:r>
      <w:proofErr w:type="spellStart"/>
      <w:r w:rsidRPr="009E6A51">
        <w:rPr>
          <w:i/>
          <w:sz w:val="24"/>
          <w:szCs w:val="24"/>
          <w:lang w:val="en-US"/>
        </w:rPr>
        <w:t>Grenier</w:t>
      </w:r>
      <w:proofErr w:type="spellEnd"/>
      <w:r w:rsidRPr="009E6A51">
        <w:rPr>
          <w:i/>
          <w:sz w:val="24"/>
          <w:szCs w:val="24"/>
          <w:lang w:val="en-US"/>
        </w:rPr>
        <w:t xml:space="preserve"> (</w:t>
      </w:r>
      <w:proofErr w:type="spellStart"/>
      <w:r w:rsidRPr="009E6A51">
        <w:rPr>
          <w:i/>
          <w:sz w:val="24"/>
          <w:szCs w:val="24"/>
          <w:lang w:val="en-US"/>
        </w:rPr>
        <w:t>Ouranos</w:t>
      </w:r>
      <w:proofErr w:type="spellEnd"/>
      <w:r w:rsidRPr="009E6A51">
        <w:rPr>
          <w:i/>
          <w:sz w:val="24"/>
          <w:szCs w:val="24"/>
          <w:lang w:val="en-US"/>
        </w:rPr>
        <w:t>); Ross Brown (Environment and Climate Change Canada</w:t>
      </w:r>
      <w:bookmarkStart w:id="0" w:name="_GoBack"/>
      <w:bookmarkEnd w:id="0"/>
      <w:r w:rsidRPr="009E6A51">
        <w:rPr>
          <w:i/>
          <w:sz w:val="24"/>
          <w:szCs w:val="24"/>
          <w:lang w:val="en-US"/>
        </w:rPr>
        <w:t>)</w:t>
      </w:r>
    </w:p>
    <w:p w:rsidR="00B342B0" w:rsidRPr="00B342B0" w:rsidRDefault="00B342B0" w:rsidP="00224B56">
      <w:pPr>
        <w:jc w:val="both"/>
        <w:rPr>
          <w:lang w:val="en-US"/>
        </w:rPr>
      </w:pPr>
      <w:r w:rsidRPr="00B342B0">
        <w:rPr>
          <w:lang w:val="en-US"/>
        </w:rPr>
        <w:t>This supplementary section presents a more detailed description of some of the physical mechanisms driving Arctic regional climate change presented in section 3.1</w:t>
      </w:r>
      <w:r w:rsidR="00DB5FCC">
        <w:rPr>
          <w:lang w:val="en-US"/>
        </w:rPr>
        <w:t xml:space="preserve"> and discusses</w:t>
      </w:r>
      <w:r w:rsidRPr="00B342B0">
        <w:rPr>
          <w:lang w:val="en-US"/>
        </w:rPr>
        <w:t xml:space="preserve"> </w:t>
      </w:r>
      <w:r w:rsidR="00DB5FCC">
        <w:rPr>
          <w:lang w:val="en-US"/>
        </w:rPr>
        <w:t>p</w:t>
      </w:r>
      <w:r w:rsidRPr="00B342B0">
        <w:rPr>
          <w:lang w:val="en-US"/>
        </w:rPr>
        <w:t>rojections for additional variables of the hydrological cycle (other than precipitation). This section also includes supplementary figures and tables referred to in the main text.</w:t>
      </w:r>
    </w:p>
    <w:p w:rsidR="00B342B0" w:rsidRPr="00B342B0" w:rsidRDefault="00B342B0" w:rsidP="00224B56">
      <w:pPr>
        <w:jc w:val="both"/>
        <w:rPr>
          <w:lang w:val="en-US"/>
        </w:rPr>
      </w:pPr>
      <w:r w:rsidRPr="00B342B0">
        <w:rPr>
          <w:lang w:val="en-US"/>
        </w:rPr>
        <w:t>In the following, section numbering follows that in the main text such that, for instance, SM3.1.1 provides add</w:t>
      </w:r>
      <w:r w:rsidR="00DB5FCC">
        <w:rPr>
          <w:lang w:val="en-US"/>
        </w:rPr>
        <w:t>itional information related to S</w:t>
      </w:r>
      <w:r w:rsidRPr="00B342B0">
        <w:rPr>
          <w:lang w:val="en-US"/>
        </w:rPr>
        <w:t>ection 3.1.1. Not all sections in the main text have supplementary information and these section numbers are skipped here.</w:t>
      </w:r>
    </w:p>
    <w:p w:rsidR="00B342B0" w:rsidRPr="009E6A51" w:rsidRDefault="00B342B0" w:rsidP="00224B56">
      <w:pPr>
        <w:jc w:val="both"/>
        <w:rPr>
          <w:b/>
          <w:sz w:val="24"/>
          <w:szCs w:val="24"/>
          <w:lang w:val="en-US"/>
        </w:rPr>
      </w:pPr>
      <w:r w:rsidRPr="009E6A51">
        <w:rPr>
          <w:b/>
          <w:sz w:val="24"/>
          <w:szCs w:val="24"/>
          <w:lang w:val="en-US"/>
        </w:rPr>
        <w:t>SM3.1.1 Global and Arctic climate change</w:t>
      </w:r>
    </w:p>
    <w:p w:rsidR="00B342B0" w:rsidRPr="00B342B0" w:rsidRDefault="00B342B0" w:rsidP="00224B56">
      <w:pPr>
        <w:jc w:val="both"/>
        <w:rPr>
          <w:i/>
          <w:lang w:val="en-US"/>
        </w:rPr>
      </w:pPr>
      <w:r w:rsidRPr="00B342B0">
        <w:rPr>
          <w:i/>
          <w:lang w:val="en-US"/>
        </w:rPr>
        <w:t>Arctic amplification</w:t>
      </w:r>
    </w:p>
    <w:p w:rsidR="00B342B0" w:rsidRPr="00B342B0" w:rsidRDefault="00B342B0" w:rsidP="00224B56">
      <w:pPr>
        <w:jc w:val="both"/>
        <w:rPr>
          <w:lang w:val="en-US"/>
        </w:rPr>
      </w:pPr>
      <w:r w:rsidRPr="00B342B0">
        <w:rPr>
          <w:lang w:val="en-US"/>
        </w:rPr>
        <w:t>Arctic amplification of warming (</w:t>
      </w:r>
      <w:proofErr w:type="spellStart"/>
      <w:r w:rsidRPr="00B342B0">
        <w:rPr>
          <w:lang w:val="en-US"/>
        </w:rPr>
        <w:t>AAw</w:t>
      </w:r>
      <w:proofErr w:type="spellEnd"/>
      <w:r w:rsidRPr="00B342B0">
        <w:rPr>
          <w:lang w:val="en-US"/>
        </w:rPr>
        <w:t xml:space="preserve">) can be defined mathematically as the ratio of the Arctic to the global surface warmings (Bracegirdle and Stephenson, 2013; Barnes and </w:t>
      </w:r>
      <w:proofErr w:type="spellStart"/>
      <w:r w:rsidRPr="00B342B0">
        <w:rPr>
          <w:lang w:val="en-US"/>
        </w:rPr>
        <w:t>Polvani</w:t>
      </w:r>
      <w:proofErr w:type="spellEnd"/>
      <w:r w:rsidRPr="00B342B0">
        <w:rPr>
          <w:lang w:val="en-US"/>
        </w:rPr>
        <w:t xml:space="preserve">, 2015). In climate model simulations, it emerges from a variety of complex and intertwined feedbacks. There is no consensus for the exact decomposition of the feedbacks involved and their relative importance for </w:t>
      </w:r>
      <w:proofErr w:type="spellStart"/>
      <w:r w:rsidRPr="00B342B0">
        <w:rPr>
          <w:lang w:val="en-US"/>
        </w:rPr>
        <w:t>AAw</w:t>
      </w:r>
      <w:proofErr w:type="spellEnd"/>
      <w:r w:rsidRPr="00B342B0">
        <w:rPr>
          <w:lang w:val="en-US"/>
        </w:rPr>
        <w:t xml:space="preserve"> (</w:t>
      </w:r>
      <w:proofErr w:type="spellStart"/>
      <w:r w:rsidRPr="00B342B0">
        <w:rPr>
          <w:lang w:val="en-US"/>
        </w:rPr>
        <w:t>Langen</w:t>
      </w:r>
      <w:proofErr w:type="spellEnd"/>
      <w:r w:rsidRPr="00B342B0">
        <w:rPr>
          <w:lang w:val="en-US"/>
        </w:rPr>
        <w:t xml:space="preserve"> et al. 2012; Taylor et al., 2013). It is important to note that the feedbacks involved in </w:t>
      </w:r>
      <w:proofErr w:type="spellStart"/>
      <w:r w:rsidRPr="00B342B0">
        <w:rPr>
          <w:lang w:val="en-US"/>
        </w:rPr>
        <w:t>AAw</w:t>
      </w:r>
      <w:proofErr w:type="spellEnd"/>
      <w:r w:rsidRPr="00B342B0">
        <w:rPr>
          <w:lang w:val="en-US"/>
        </w:rPr>
        <w:t xml:space="preserve"> are not necessarily positive (i.e. acting to enhance temperature changes); a negative feedback (i.e. acting to damp temperature changes) may increase the </w:t>
      </w:r>
      <w:proofErr w:type="spellStart"/>
      <w:r w:rsidRPr="00B342B0">
        <w:rPr>
          <w:lang w:val="en-US"/>
        </w:rPr>
        <w:t>AAw</w:t>
      </w:r>
      <w:proofErr w:type="spellEnd"/>
      <w:r w:rsidRPr="00B342B0">
        <w:rPr>
          <w:lang w:val="en-US"/>
        </w:rPr>
        <w:t xml:space="preserve"> if it acts more strongly in the tropics than in the Arctic. In the next </w:t>
      </w:r>
      <w:proofErr w:type="gramStart"/>
      <w:r w:rsidRPr="00B342B0">
        <w:rPr>
          <w:lang w:val="en-US"/>
        </w:rPr>
        <w:t>paragraph</w:t>
      </w:r>
      <w:proofErr w:type="gramEnd"/>
      <w:r w:rsidRPr="00B342B0">
        <w:rPr>
          <w:lang w:val="en-US"/>
        </w:rPr>
        <w:t xml:space="preserve">, we briefly describe these feedbacks, following the order of importance suggested by </w:t>
      </w:r>
      <w:proofErr w:type="spellStart"/>
      <w:r w:rsidRPr="00B342B0">
        <w:rPr>
          <w:lang w:val="en-US"/>
        </w:rPr>
        <w:t>Pithan</w:t>
      </w:r>
      <w:proofErr w:type="spellEnd"/>
      <w:r w:rsidRPr="00B342B0">
        <w:rPr>
          <w:lang w:val="en-US"/>
        </w:rPr>
        <w:t xml:space="preserve"> and </w:t>
      </w:r>
      <w:proofErr w:type="spellStart"/>
      <w:r w:rsidRPr="00B342B0">
        <w:rPr>
          <w:lang w:val="en-US"/>
        </w:rPr>
        <w:t>Mauritsen</w:t>
      </w:r>
      <w:proofErr w:type="spellEnd"/>
      <w:r w:rsidRPr="00B342B0">
        <w:rPr>
          <w:lang w:val="en-US"/>
        </w:rPr>
        <w:t xml:space="preserve"> (2014). </w:t>
      </w:r>
    </w:p>
    <w:p w:rsidR="00B342B0" w:rsidRPr="00B342B0" w:rsidRDefault="00B342B0" w:rsidP="00224B56">
      <w:pPr>
        <w:jc w:val="both"/>
        <w:rPr>
          <w:lang w:val="en-US"/>
        </w:rPr>
      </w:pPr>
      <w:r w:rsidRPr="00B342B0">
        <w:rPr>
          <w:lang w:val="en-US"/>
        </w:rPr>
        <w:t xml:space="preserve">The Planck feedback corresponds to an increase in the longwave radiation (LWR) emission by a warming material (air, snow, bedrock, etc.). Because emitted LWR scales with the fourth power of surface temperature, Arctic surfaces must warm more than tropical surfaces to compensate for the same amount of additional LWR energy from the anthropogenic greenhouse effect. Another intertwined mechanism is the lapse-rate feedback, namely the response of the vertical temperature profile to the GHG forcing. In the Arctic, surface inversions limit vertical mixing, thus confining surface-based warming to the lowest part of the troposphere, whereas in the tropics, extra energy is more efficiently mixed via the release of latent heat in the upper troposphere. From a surface perspective, this corresponds to a warming feedback from the atmosphere which is larger in the Arctic relative to elsewhere. Another important mechanism contributing to </w:t>
      </w:r>
      <w:proofErr w:type="spellStart"/>
      <w:r w:rsidRPr="00B342B0">
        <w:rPr>
          <w:lang w:val="en-US"/>
        </w:rPr>
        <w:t>AAw</w:t>
      </w:r>
      <w:proofErr w:type="spellEnd"/>
      <w:r w:rsidRPr="00B342B0">
        <w:rPr>
          <w:lang w:val="en-US"/>
        </w:rPr>
        <w:t xml:space="preserve"> is the albedo feedback whereby additional absorption of shortwave radiation (SWR) </w:t>
      </w:r>
      <w:proofErr w:type="gramStart"/>
      <w:r w:rsidRPr="00B342B0">
        <w:rPr>
          <w:lang w:val="en-US"/>
        </w:rPr>
        <w:t>from  declining</w:t>
      </w:r>
      <w:proofErr w:type="gramEnd"/>
      <w:r w:rsidRPr="00B342B0">
        <w:rPr>
          <w:lang w:val="en-US"/>
        </w:rPr>
        <w:t xml:space="preserve"> sea ice and snow cover enhances warming at the surface. Other feedbacks with smaller effects on </w:t>
      </w:r>
      <w:proofErr w:type="spellStart"/>
      <w:r w:rsidRPr="00B342B0">
        <w:rPr>
          <w:lang w:val="en-US"/>
        </w:rPr>
        <w:t>AAw</w:t>
      </w:r>
      <w:proofErr w:type="spellEnd"/>
      <w:r w:rsidRPr="00B342B0">
        <w:rPr>
          <w:lang w:val="en-US"/>
        </w:rPr>
        <w:t xml:space="preserve"> exist, and at least one mechanism opposes </w:t>
      </w:r>
      <w:proofErr w:type="spellStart"/>
      <w:r w:rsidRPr="00B342B0">
        <w:rPr>
          <w:lang w:val="en-US"/>
        </w:rPr>
        <w:t>AAw</w:t>
      </w:r>
      <w:proofErr w:type="spellEnd"/>
      <w:r w:rsidRPr="00B342B0">
        <w:rPr>
          <w:lang w:val="en-US"/>
        </w:rPr>
        <w:t xml:space="preserve">, namely the water </w:t>
      </w:r>
      <w:proofErr w:type="spellStart"/>
      <w:r w:rsidRPr="00B342B0">
        <w:rPr>
          <w:lang w:val="en-US"/>
        </w:rPr>
        <w:t>vapour</w:t>
      </w:r>
      <w:proofErr w:type="spellEnd"/>
      <w:r w:rsidRPr="00B342B0">
        <w:rPr>
          <w:lang w:val="en-US"/>
        </w:rPr>
        <w:t xml:space="preserve"> feedback (warmer air tends to contain more water </w:t>
      </w:r>
      <w:proofErr w:type="spellStart"/>
      <w:r w:rsidRPr="00B342B0">
        <w:rPr>
          <w:lang w:val="en-US"/>
        </w:rPr>
        <w:t>vapour</w:t>
      </w:r>
      <w:proofErr w:type="spellEnd"/>
      <w:r w:rsidRPr="00B342B0">
        <w:rPr>
          <w:lang w:val="en-US"/>
        </w:rPr>
        <w:t xml:space="preserve">, which is a GHG). It is important to note that the relative </w:t>
      </w:r>
      <w:r w:rsidRPr="00B342B0">
        <w:rPr>
          <w:lang w:val="en-US"/>
        </w:rPr>
        <w:lastRenderedPageBreak/>
        <w:t xml:space="preserve">importance of these mechanisms for the </w:t>
      </w:r>
      <w:proofErr w:type="spellStart"/>
      <w:r w:rsidRPr="00B342B0">
        <w:rPr>
          <w:lang w:val="en-US"/>
        </w:rPr>
        <w:t>AAw</w:t>
      </w:r>
      <w:proofErr w:type="spellEnd"/>
      <w:r w:rsidRPr="00B342B0">
        <w:rPr>
          <w:lang w:val="en-US"/>
        </w:rPr>
        <w:t xml:space="preserve"> evolve from one season to another. For example, the albedo feedback is almost inoperative during winter (although its main impact is an increased transfer of heat from the sea to the atmosphere during autumn and early winter), whereas the LWR feedbacks have a minimal effect during summer. In total, the Arctic amplification of the warming is more a cold-season than a warm-season phenomenon, as observed for the recent period (</w:t>
      </w:r>
      <w:proofErr w:type="spellStart"/>
      <w:r w:rsidRPr="00B342B0">
        <w:rPr>
          <w:lang w:val="en-US"/>
        </w:rPr>
        <w:t>Serreze</w:t>
      </w:r>
      <w:proofErr w:type="spellEnd"/>
      <w:r w:rsidRPr="00B342B0">
        <w:rPr>
          <w:lang w:val="en-US"/>
        </w:rPr>
        <w:t xml:space="preserve"> and Barry, 2011) and simulated for the late 21st centu</w:t>
      </w:r>
      <w:r w:rsidR="00243AB6">
        <w:rPr>
          <w:lang w:val="en-US"/>
        </w:rPr>
        <w:t xml:space="preserve">ry (Barnes and </w:t>
      </w:r>
      <w:proofErr w:type="spellStart"/>
      <w:r w:rsidR="00243AB6">
        <w:rPr>
          <w:lang w:val="en-US"/>
        </w:rPr>
        <w:t>Polvani</w:t>
      </w:r>
      <w:proofErr w:type="spellEnd"/>
      <w:r w:rsidR="00243AB6">
        <w:rPr>
          <w:lang w:val="en-US"/>
        </w:rPr>
        <w:t xml:space="preserve">, 2015). </w:t>
      </w:r>
    </w:p>
    <w:p w:rsidR="00B342B0" w:rsidRPr="00B342B0" w:rsidRDefault="00B342B0" w:rsidP="00224B56">
      <w:pPr>
        <w:jc w:val="both"/>
        <w:rPr>
          <w:lang w:val="en-US"/>
        </w:rPr>
      </w:pPr>
      <w:r w:rsidRPr="00B342B0">
        <w:rPr>
          <w:lang w:val="en-US"/>
        </w:rPr>
        <w:t>As for the warming, Arctic moistening is expected to be amplified relative to that at lower latitudes (</w:t>
      </w:r>
      <w:proofErr w:type="spellStart"/>
      <w:r w:rsidRPr="00B342B0">
        <w:rPr>
          <w:lang w:val="en-US"/>
        </w:rPr>
        <w:t>Vihma</w:t>
      </w:r>
      <w:proofErr w:type="spellEnd"/>
      <w:r w:rsidRPr="00B342B0">
        <w:rPr>
          <w:lang w:val="en-US"/>
        </w:rPr>
        <w:t xml:space="preserve"> et al. 2015). Actually, Arctic amplification of the moistening (</w:t>
      </w:r>
      <w:proofErr w:type="spellStart"/>
      <w:r w:rsidRPr="00B342B0">
        <w:rPr>
          <w:lang w:val="en-US"/>
        </w:rPr>
        <w:t>AAm</w:t>
      </w:r>
      <w:proofErr w:type="spellEnd"/>
      <w:r w:rsidRPr="00B342B0">
        <w:rPr>
          <w:lang w:val="en-US"/>
        </w:rPr>
        <w:t>) is difficult to detect in recent observations (Zhang et al. 2012) but emerges in simulations for the 21st century (</w:t>
      </w:r>
      <w:proofErr w:type="spellStart"/>
      <w:r w:rsidRPr="00B342B0">
        <w:rPr>
          <w:lang w:val="en-US"/>
        </w:rPr>
        <w:t>Kattsov</w:t>
      </w:r>
      <w:proofErr w:type="spellEnd"/>
      <w:r w:rsidRPr="00B342B0">
        <w:rPr>
          <w:lang w:val="en-US"/>
        </w:rPr>
        <w:t xml:space="preserve"> et al. 2007).  The hypothesis of an intensified global water cycle is based on the </w:t>
      </w:r>
      <w:proofErr w:type="spellStart"/>
      <w:r w:rsidRPr="00B342B0">
        <w:rPr>
          <w:lang w:val="en-US"/>
        </w:rPr>
        <w:t>Clausius-Clapeyron</w:t>
      </w:r>
      <w:proofErr w:type="spellEnd"/>
      <w:r w:rsidRPr="00B342B0">
        <w:rPr>
          <w:lang w:val="en-US"/>
        </w:rPr>
        <w:t xml:space="preserve"> (C-C) relationship between air temperature and the maximal amount of water </w:t>
      </w:r>
      <w:proofErr w:type="spellStart"/>
      <w:r w:rsidRPr="00B342B0">
        <w:rPr>
          <w:lang w:val="en-US"/>
        </w:rPr>
        <w:t>vapour</w:t>
      </w:r>
      <w:proofErr w:type="spellEnd"/>
      <w:r w:rsidRPr="00B342B0">
        <w:rPr>
          <w:lang w:val="en-US"/>
        </w:rPr>
        <w:t xml:space="preserve"> air can contain, which indicates an increase of 7 % per degree of warming (Held and </w:t>
      </w:r>
      <w:proofErr w:type="spellStart"/>
      <w:r w:rsidRPr="00B342B0">
        <w:rPr>
          <w:lang w:val="en-US"/>
        </w:rPr>
        <w:t>Soden</w:t>
      </w:r>
      <w:proofErr w:type="spellEnd"/>
      <w:r w:rsidRPr="00B342B0">
        <w:rPr>
          <w:lang w:val="en-US"/>
        </w:rPr>
        <w:t xml:space="preserve">, 2006). Contrary to specific humidity (in grams of </w:t>
      </w:r>
      <w:proofErr w:type="spellStart"/>
      <w:r w:rsidRPr="00B342B0">
        <w:rPr>
          <w:lang w:val="en-US"/>
        </w:rPr>
        <w:t>vapour</w:t>
      </w:r>
      <w:proofErr w:type="spellEnd"/>
      <w:r w:rsidRPr="00B342B0">
        <w:rPr>
          <w:lang w:val="en-US"/>
        </w:rPr>
        <w:t xml:space="preserve"> per kilogram of air), precipitation is not expected to scale with the C-C relationship (</w:t>
      </w:r>
      <w:proofErr w:type="spellStart"/>
      <w:r w:rsidRPr="00B342B0">
        <w:rPr>
          <w:lang w:val="en-US"/>
        </w:rPr>
        <w:t>Bengtsson</w:t>
      </w:r>
      <w:proofErr w:type="spellEnd"/>
      <w:r w:rsidRPr="00B342B0">
        <w:rPr>
          <w:lang w:val="en-US"/>
        </w:rPr>
        <w:t xml:space="preserve"> et al. 2011), and a large spatial differential could occur, with Arctic and global mean precipitation sensitivities of 4.5 % and 1.6–1.9 % per degree of warming, respectively (</w:t>
      </w:r>
      <w:proofErr w:type="spellStart"/>
      <w:r w:rsidRPr="00B342B0">
        <w:rPr>
          <w:lang w:val="en-US"/>
        </w:rPr>
        <w:t>Bintanja</w:t>
      </w:r>
      <w:proofErr w:type="spellEnd"/>
      <w:r w:rsidRPr="00B342B0">
        <w:rPr>
          <w:lang w:val="en-US"/>
        </w:rPr>
        <w:t xml:space="preserve"> and </w:t>
      </w:r>
      <w:proofErr w:type="spellStart"/>
      <w:r w:rsidRPr="00B342B0">
        <w:rPr>
          <w:lang w:val="en-US"/>
        </w:rPr>
        <w:t>Selten</w:t>
      </w:r>
      <w:proofErr w:type="spellEnd"/>
      <w:r w:rsidRPr="00B342B0">
        <w:rPr>
          <w:lang w:val="en-US"/>
        </w:rPr>
        <w:t xml:space="preserve">, 2014). As with </w:t>
      </w:r>
      <w:proofErr w:type="spellStart"/>
      <w:r w:rsidRPr="00B342B0">
        <w:rPr>
          <w:lang w:val="en-US"/>
        </w:rPr>
        <w:t>AAw</w:t>
      </w:r>
      <w:proofErr w:type="spellEnd"/>
      <w:r w:rsidRPr="00B342B0">
        <w:rPr>
          <w:lang w:val="en-US"/>
        </w:rPr>
        <w:t xml:space="preserve">, the mechanisms contributing to </w:t>
      </w:r>
      <w:proofErr w:type="spellStart"/>
      <w:r w:rsidRPr="00B342B0">
        <w:rPr>
          <w:lang w:val="en-US"/>
        </w:rPr>
        <w:t>AAm</w:t>
      </w:r>
      <w:proofErr w:type="spellEnd"/>
      <w:r w:rsidRPr="00B342B0">
        <w:rPr>
          <w:lang w:val="en-US"/>
        </w:rPr>
        <w:t xml:space="preserve"> are complex and intertwined, and there is no consensus on their relative importance (Zhang et al., 2012; </w:t>
      </w:r>
      <w:proofErr w:type="spellStart"/>
      <w:r w:rsidRPr="00B342B0">
        <w:rPr>
          <w:lang w:val="en-US"/>
        </w:rPr>
        <w:t>Kattsov</w:t>
      </w:r>
      <w:proofErr w:type="spellEnd"/>
      <w:r w:rsidRPr="00B342B0">
        <w:rPr>
          <w:lang w:val="en-US"/>
        </w:rPr>
        <w:t xml:space="preserve"> et al. 2007). Moreover, the relative importance can vary through time. For example, analysis of simulations suggests that the relative importance of moisture transport to Arctic precipitation will decline with climate warming over the twenty-first century, even if in absolute terms moisture transport towards the Arctic will increase (</w:t>
      </w:r>
      <w:proofErr w:type="spellStart"/>
      <w:r w:rsidRPr="00B342B0">
        <w:rPr>
          <w:lang w:val="en-US"/>
        </w:rPr>
        <w:t>Bintanja</w:t>
      </w:r>
      <w:proofErr w:type="spellEnd"/>
      <w:r w:rsidRPr="00B342B0">
        <w:rPr>
          <w:lang w:val="en-US"/>
        </w:rPr>
        <w:t xml:space="preserve"> and </w:t>
      </w:r>
      <w:proofErr w:type="spellStart"/>
      <w:r w:rsidRPr="00B342B0">
        <w:rPr>
          <w:lang w:val="en-US"/>
        </w:rPr>
        <w:t>Selten</w:t>
      </w:r>
      <w:proofErr w:type="spellEnd"/>
      <w:r w:rsidRPr="00B342B0">
        <w:rPr>
          <w:lang w:val="en-US"/>
        </w:rPr>
        <w:t xml:space="preserve">, 2014). Declines in sea ice cover contribute to </w:t>
      </w:r>
      <w:proofErr w:type="spellStart"/>
      <w:r w:rsidRPr="00B342B0">
        <w:rPr>
          <w:lang w:val="en-US"/>
        </w:rPr>
        <w:t>AAm</w:t>
      </w:r>
      <w:proofErr w:type="spellEnd"/>
      <w:r w:rsidRPr="00B342B0">
        <w:rPr>
          <w:lang w:val="en-US"/>
        </w:rPr>
        <w:t xml:space="preserve"> via increased local </w:t>
      </w:r>
      <w:proofErr w:type="gramStart"/>
      <w:r w:rsidRPr="00B342B0">
        <w:rPr>
          <w:lang w:val="en-US"/>
        </w:rPr>
        <w:t>evaporation  especially</w:t>
      </w:r>
      <w:proofErr w:type="gramEnd"/>
      <w:r w:rsidRPr="00B342B0">
        <w:rPr>
          <w:lang w:val="en-US"/>
        </w:rPr>
        <w:t xml:space="preserve"> during autumn (Screen et al., 2013); this phenomenon has no equivalent at lower latitudes.</w:t>
      </w:r>
    </w:p>
    <w:p w:rsidR="00243AB6" w:rsidRPr="009E6A51" w:rsidRDefault="00B342B0" w:rsidP="00224B56">
      <w:pPr>
        <w:jc w:val="both"/>
        <w:rPr>
          <w:b/>
          <w:sz w:val="24"/>
          <w:szCs w:val="24"/>
          <w:lang w:val="en-US"/>
        </w:rPr>
      </w:pPr>
      <w:r w:rsidRPr="009E6A51">
        <w:rPr>
          <w:b/>
          <w:sz w:val="24"/>
          <w:szCs w:val="24"/>
          <w:lang w:val="en-US"/>
        </w:rPr>
        <w:t>SM3.1.2 Atmosphere</w:t>
      </w:r>
    </w:p>
    <w:p w:rsidR="00B342B0" w:rsidRPr="00B342B0" w:rsidRDefault="00B342B0" w:rsidP="00224B56">
      <w:pPr>
        <w:jc w:val="both"/>
        <w:rPr>
          <w:i/>
          <w:lang w:val="en-US"/>
        </w:rPr>
      </w:pPr>
      <w:r w:rsidRPr="00B342B0">
        <w:rPr>
          <w:i/>
          <w:lang w:val="en-US"/>
        </w:rPr>
        <w:t>Seasonal temperature projections</w:t>
      </w:r>
    </w:p>
    <w:p w:rsidR="004A5DA2" w:rsidRDefault="00B342B0" w:rsidP="00224B56">
      <w:pPr>
        <w:jc w:val="both"/>
        <w:rPr>
          <w:lang w:val="en-US"/>
        </w:rPr>
      </w:pPr>
      <w:r w:rsidRPr="00B342B0">
        <w:rPr>
          <w:lang w:val="en-US"/>
        </w:rPr>
        <w:t>Figures SM3.1 and SM3.2 show likely patterns for winter (December-January-February) and summer (June-July-August) average near-surface air temperature change relative to 1986-2005. The interpretation is the same as for changes in annual temperature (see section 3.1.2.1).</w:t>
      </w:r>
    </w:p>
    <w:p w:rsidR="00B342B0" w:rsidRPr="00B342B0" w:rsidRDefault="00B342B0" w:rsidP="00243AB6">
      <w:pPr>
        <w:jc w:val="center"/>
        <w:rPr>
          <w:lang w:val="en-US"/>
        </w:rPr>
      </w:pPr>
      <w:r>
        <w:rPr>
          <w:noProof/>
          <w:lang w:eastAsia="da-DK"/>
        </w:rPr>
        <w:lastRenderedPageBreak/>
        <w:drawing>
          <wp:inline distT="0" distB="0" distL="0" distR="0" wp14:anchorId="33E8C7E7" wp14:editId="0449B127">
            <wp:extent cx="3828687" cy="5604811"/>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3831741" cy="5609282"/>
                    </a:xfrm>
                    <a:prstGeom prst="rect">
                      <a:avLst/>
                    </a:prstGeom>
                  </pic:spPr>
                </pic:pic>
              </a:graphicData>
            </a:graphic>
          </wp:inline>
        </w:drawing>
      </w:r>
    </w:p>
    <w:p w:rsidR="00B342B0" w:rsidRDefault="00B342B0" w:rsidP="00224B56">
      <w:pPr>
        <w:jc w:val="both"/>
        <w:rPr>
          <w:lang w:val="en-US"/>
        </w:rPr>
      </w:pPr>
      <w:r w:rsidRPr="00B342B0">
        <w:rPr>
          <w:lang w:val="en-US"/>
        </w:rPr>
        <w:t>Figure SM3.1: Same as Figure 3.3, but for winter (December-January-February) temperature. Source of the data: IPCC (2013; Annex 1) [Prepared by Rasmus A. Pedersen, DMI]</w:t>
      </w:r>
    </w:p>
    <w:p w:rsidR="00B342B0" w:rsidRDefault="00B342B0" w:rsidP="00243AB6">
      <w:pPr>
        <w:jc w:val="center"/>
        <w:rPr>
          <w:lang w:val="en-US"/>
        </w:rPr>
      </w:pPr>
      <w:r>
        <w:rPr>
          <w:noProof/>
          <w:lang w:eastAsia="da-DK"/>
        </w:rPr>
        <w:lastRenderedPageBreak/>
        <w:drawing>
          <wp:inline distT="0" distB="0" distL="0" distR="0" wp14:anchorId="1A1DDC8B" wp14:editId="06A27CE4">
            <wp:extent cx="3598224" cy="5168824"/>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597192" cy="5167342"/>
                    </a:xfrm>
                    <a:prstGeom prst="rect">
                      <a:avLst/>
                    </a:prstGeom>
                  </pic:spPr>
                </pic:pic>
              </a:graphicData>
            </a:graphic>
          </wp:inline>
        </w:drawing>
      </w:r>
    </w:p>
    <w:p w:rsidR="00B342B0" w:rsidRDefault="00B342B0" w:rsidP="00224B56">
      <w:pPr>
        <w:jc w:val="both"/>
        <w:rPr>
          <w:lang w:val="en-US"/>
        </w:rPr>
      </w:pPr>
      <w:r w:rsidRPr="00B342B0">
        <w:rPr>
          <w:lang w:val="en-US"/>
        </w:rPr>
        <w:t>Figure SM3.2: Same as Figure 3.3, but for summer (June-July-August) temperature. Source of the data: IPCC (2013; Annex 1) [Prepared by Rasmus A. Pedersen, DMI]</w:t>
      </w:r>
    </w:p>
    <w:p w:rsidR="00B342B0" w:rsidRPr="00B342B0" w:rsidRDefault="00B342B0" w:rsidP="00224B56">
      <w:pPr>
        <w:jc w:val="both"/>
        <w:rPr>
          <w:i/>
          <w:lang w:val="en-US"/>
        </w:rPr>
      </w:pPr>
      <w:r w:rsidRPr="00B342B0">
        <w:rPr>
          <w:i/>
          <w:lang w:val="en-US"/>
        </w:rPr>
        <w:t>Projections for other variables of the water cycle</w:t>
      </w:r>
    </w:p>
    <w:p w:rsidR="00B342B0" w:rsidRPr="00B342B0" w:rsidRDefault="00B342B0" w:rsidP="00224B56">
      <w:pPr>
        <w:jc w:val="both"/>
        <w:rPr>
          <w:lang w:val="en-US"/>
        </w:rPr>
      </w:pPr>
      <w:r w:rsidRPr="00B342B0">
        <w:rPr>
          <w:lang w:val="en-US"/>
        </w:rPr>
        <w:t xml:space="preserve">Precipitation and humidity are probably the most investigated variables describing the atmospheric branch of the water cycle. But other important hydrological cycle variables may change as well. For example, using one global climate model, </w:t>
      </w:r>
      <w:proofErr w:type="spellStart"/>
      <w:r w:rsidRPr="00B342B0">
        <w:rPr>
          <w:lang w:val="en-US"/>
        </w:rPr>
        <w:t>Bengtsson</w:t>
      </w:r>
      <w:proofErr w:type="spellEnd"/>
      <w:r w:rsidRPr="00B342B0">
        <w:rPr>
          <w:lang w:val="en-US"/>
        </w:rPr>
        <w:t xml:space="preserve"> et al. (2011) have estimated that evaporation (E) north of 60oN should increase by about 20 % from the period 1959-1990 to the period 2069-2100, compared with a 25 % increase in precipitation (</w:t>
      </w:r>
      <w:proofErr w:type="spellStart"/>
      <w:r w:rsidRPr="00B342B0">
        <w:rPr>
          <w:lang w:val="en-US"/>
        </w:rPr>
        <w:t>Pr</w:t>
      </w:r>
      <w:proofErr w:type="spellEnd"/>
      <w:r w:rsidRPr="00B342B0">
        <w:rPr>
          <w:lang w:val="en-US"/>
        </w:rPr>
        <w:t xml:space="preserve">). </w:t>
      </w:r>
      <w:proofErr w:type="spellStart"/>
      <w:r w:rsidRPr="00B342B0">
        <w:rPr>
          <w:lang w:val="en-US"/>
        </w:rPr>
        <w:t>Bengtsson</w:t>
      </w:r>
      <w:proofErr w:type="spellEnd"/>
      <w:r w:rsidRPr="00B342B0">
        <w:rPr>
          <w:lang w:val="en-US"/>
        </w:rPr>
        <w:t xml:space="preserve"> et al. (2011) also obtain an increase in the difference [</w:t>
      </w:r>
      <w:proofErr w:type="spellStart"/>
      <w:r w:rsidRPr="00B342B0">
        <w:rPr>
          <w:lang w:val="en-US"/>
        </w:rPr>
        <w:t>Pr</w:t>
      </w:r>
      <w:proofErr w:type="spellEnd"/>
      <w:r w:rsidRPr="00B342B0">
        <w:rPr>
          <w:lang w:val="en-US"/>
        </w:rPr>
        <w:t xml:space="preserve">-E] of 28 % between the same periods [the Arctic is already a region of net water </w:t>
      </w:r>
      <w:proofErr w:type="spellStart"/>
      <w:r w:rsidRPr="00B342B0">
        <w:rPr>
          <w:lang w:val="en-US"/>
        </w:rPr>
        <w:t>vapour</w:t>
      </w:r>
      <w:proofErr w:type="spellEnd"/>
      <w:r w:rsidRPr="00B342B0">
        <w:rPr>
          <w:lang w:val="en-US"/>
        </w:rPr>
        <w:t xml:space="preserve"> convergence, with </w:t>
      </w:r>
      <w:proofErr w:type="spellStart"/>
      <w:r w:rsidRPr="00B342B0">
        <w:rPr>
          <w:lang w:val="en-US"/>
        </w:rPr>
        <w:t>Pr</w:t>
      </w:r>
      <w:proofErr w:type="spellEnd"/>
      <w:r w:rsidRPr="00B342B0">
        <w:rPr>
          <w:lang w:val="en-US"/>
        </w:rPr>
        <w:t>-E &gt; 0 (</w:t>
      </w:r>
      <w:proofErr w:type="spellStart"/>
      <w:r w:rsidRPr="00B342B0">
        <w:rPr>
          <w:lang w:val="en-US"/>
        </w:rPr>
        <w:t>Kattsov</w:t>
      </w:r>
      <w:proofErr w:type="spellEnd"/>
      <w:r w:rsidRPr="00B342B0">
        <w:rPr>
          <w:lang w:val="en-US"/>
        </w:rPr>
        <w:t xml:space="preserve"> et al. 2007; </w:t>
      </w:r>
      <w:proofErr w:type="spellStart"/>
      <w:r w:rsidRPr="00B342B0">
        <w:rPr>
          <w:lang w:val="en-US"/>
        </w:rPr>
        <w:t>Koenigk</w:t>
      </w:r>
      <w:proofErr w:type="spellEnd"/>
      <w:r w:rsidRPr="00B342B0">
        <w:rPr>
          <w:lang w:val="en-US"/>
        </w:rPr>
        <w:t xml:space="preserve"> et al. 2013)]. The direction of these changes is in agreement with results from </w:t>
      </w:r>
      <w:proofErr w:type="spellStart"/>
      <w:r w:rsidRPr="00B342B0">
        <w:rPr>
          <w:lang w:val="en-US"/>
        </w:rPr>
        <w:t>Kattsov</w:t>
      </w:r>
      <w:proofErr w:type="spellEnd"/>
      <w:r w:rsidRPr="00B342B0">
        <w:rPr>
          <w:lang w:val="en-US"/>
        </w:rPr>
        <w:t xml:space="preserve"> et al. (2007), </w:t>
      </w:r>
      <w:proofErr w:type="spellStart"/>
      <w:r w:rsidRPr="00B342B0">
        <w:rPr>
          <w:lang w:val="en-US"/>
        </w:rPr>
        <w:t>Vavrus</w:t>
      </w:r>
      <w:proofErr w:type="spellEnd"/>
      <w:r w:rsidRPr="00B342B0">
        <w:rPr>
          <w:lang w:val="en-US"/>
        </w:rPr>
        <w:t xml:space="preserve"> et al. (2009), and </w:t>
      </w:r>
      <w:proofErr w:type="spellStart"/>
      <w:r w:rsidRPr="00B342B0">
        <w:rPr>
          <w:lang w:val="en-US"/>
        </w:rPr>
        <w:t>Koenigk</w:t>
      </w:r>
      <w:proofErr w:type="spellEnd"/>
      <w:r w:rsidRPr="00B342B0">
        <w:rPr>
          <w:lang w:val="en-US"/>
        </w:rPr>
        <w:t xml:space="preserve"> et al. 2013. The enhancement in Arctic moisture convergence is expected to cause an increase in river discharge (Zhang et al., 2012) and in groundwater storage (</w:t>
      </w:r>
      <w:proofErr w:type="spellStart"/>
      <w:r w:rsidRPr="00B342B0">
        <w:rPr>
          <w:lang w:val="en-US"/>
        </w:rPr>
        <w:t>Muskett</w:t>
      </w:r>
      <w:proofErr w:type="spellEnd"/>
      <w:r w:rsidRPr="00B342B0">
        <w:rPr>
          <w:lang w:val="en-US"/>
        </w:rPr>
        <w:t xml:space="preserve"> and </w:t>
      </w:r>
      <w:proofErr w:type="spellStart"/>
      <w:r w:rsidRPr="00B342B0">
        <w:rPr>
          <w:lang w:val="en-US"/>
        </w:rPr>
        <w:t>Romanovsky</w:t>
      </w:r>
      <w:proofErr w:type="spellEnd"/>
      <w:r w:rsidRPr="00B342B0">
        <w:rPr>
          <w:lang w:val="en-US"/>
        </w:rPr>
        <w:t>, 2009), although not everywhere due to concurrent phenomena such as permafrost thawing. Also, natural large-scale oscillations can create periods of temporary decrease in precipitation and river discharge for some regions (</w:t>
      </w:r>
      <w:proofErr w:type="spellStart"/>
      <w:r w:rsidRPr="00B342B0">
        <w:rPr>
          <w:lang w:val="en-US"/>
        </w:rPr>
        <w:t>Déry</w:t>
      </w:r>
      <w:proofErr w:type="spellEnd"/>
      <w:r w:rsidRPr="00B342B0">
        <w:rPr>
          <w:lang w:val="en-US"/>
        </w:rPr>
        <w:t xml:space="preserve"> and Wood, 2005). Net Arctic Ocean freshening is </w:t>
      </w:r>
      <w:r w:rsidRPr="00B342B0">
        <w:rPr>
          <w:lang w:val="en-US"/>
        </w:rPr>
        <w:lastRenderedPageBreak/>
        <w:t>another expected consequence of the increase in [</w:t>
      </w:r>
      <w:proofErr w:type="spellStart"/>
      <w:r w:rsidRPr="00B342B0">
        <w:rPr>
          <w:lang w:val="en-US"/>
        </w:rPr>
        <w:t>Pr</w:t>
      </w:r>
      <w:proofErr w:type="spellEnd"/>
      <w:r w:rsidRPr="00B342B0">
        <w:rPr>
          <w:lang w:val="en-US"/>
        </w:rPr>
        <w:t>-E] (</w:t>
      </w:r>
      <w:proofErr w:type="spellStart"/>
      <w:r w:rsidRPr="00B342B0">
        <w:rPr>
          <w:lang w:val="en-US"/>
        </w:rPr>
        <w:t>Bintanja</w:t>
      </w:r>
      <w:proofErr w:type="spellEnd"/>
      <w:r w:rsidRPr="00B342B0">
        <w:rPr>
          <w:lang w:val="en-US"/>
        </w:rPr>
        <w:t xml:space="preserve"> and </w:t>
      </w:r>
      <w:proofErr w:type="spellStart"/>
      <w:r w:rsidRPr="00B342B0">
        <w:rPr>
          <w:lang w:val="en-US"/>
        </w:rPr>
        <w:t>Selten</w:t>
      </w:r>
      <w:proofErr w:type="spellEnd"/>
      <w:r w:rsidRPr="00B342B0">
        <w:rPr>
          <w:lang w:val="en-US"/>
        </w:rPr>
        <w:t xml:space="preserve"> 2014; </w:t>
      </w:r>
      <w:proofErr w:type="spellStart"/>
      <w:r w:rsidRPr="00B342B0">
        <w:rPr>
          <w:lang w:val="en-US"/>
        </w:rPr>
        <w:t>Koenigk</w:t>
      </w:r>
      <w:proofErr w:type="spellEnd"/>
      <w:r w:rsidRPr="00B342B0">
        <w:rPr>
          <w:lang w:val="en-US"/>
        </w:rPr>
        <w:t xml:space="preserve"> et al. 2013), and is also subject to natural oscillations. This freshening will in turn potentially affect the ocean stratification and circulation, thus feeding back to the Arctic climate system (Davies et al. 2014; </w:t>
      </w:r>
      <w:proofErr w:type="spellStart"/>
      <w:r w:rsidRPr="00B342B0">
        <w:rPr>
          <w:lang w:val="en-US"/>
        </w:rPr>
        <w:t>Kattsov</w:t>
      </w:r>
      <w:proofErr w:type="spellEnd"/>
      <w:r w:rsidRPr="00B342B0">
        <w:rPr>
          <w:lang w:val="en-US"/>
        </w:rPr>
        <w:t xml:space="preserve"> et al. 2007). It must be stressed that there is considerable inter-annual variation in the Arctic hydrological cycle, and that no trends are discernible in the recent past transport of moisture into the Arctic based on ERA-Interim data (</w:t>
      </w:r>
      <w:proofErr w:type="spellStart"/>
      <w:r w:rsidRPr="00B342B0">
        <w:rPr>
          <w:lang w:val="en-US"/>
        </w:rPr>
        <w:t>Bengtsson</w:t>
      </w:r>
      <w:proofErr w:type="spellEnd"/>
      <w:r w:rsidRPr="00B342B0">
        <w:rPr>
          <w:lang w:val="en-US"/>
        </w:rPr>
        <w:t xml:space="preserve"> et al. (2011).</w:t>
      </w:r>
    </w:p>
    <w:p w:rsidR="00B342B0" w:rsidRPr="00B342B0" w:rsidRDefault="00B342B0" w:rsidP="00224B56">
      <w:pPr>
        <w:jc w:val="both"/>
        <w:rPr>
          <w:lang w:val="en-US"/>
        </w:rPr>
      </w:pPr>
      <w:r w:rsidRPr="00B342B0">
        <w:rPr>
          <w:lang w:val="en-US"/>
        </w:rPr>
        <w:t xml:space="preserve">In addition to their role in the hydrological cycle, clouds are important for their direct impact on surface incoming short and longwave radiation. During winter clouds warm the surface through the greenhouse effect, whereas during summer they act to cool the surface from reflection of sunlight (Key et al. 2004; </w:t>
      </w:r>
      <w:proofErr w:type="spellStart"/>
      <w:r w:rsidRPr="00B342B0">
        <w:rPr>
          <w:lang w:val="en-US"/>
        </w:rPr>
        <w:t>Koenigk</w:t>
      </w:r>
      <w:proofErr w:type="spellEnd"/>
      <w:r w:rsidRPr="00B342B0">
        <w:rPr>
          <w:lang w:val="en-US"/>
        </w:rPr>
        <w:t xml:space="preserve"> et al. 2013). At the end of the 21st century over the BBDS region, CMIP3 GCMs driven by a SRES-A1B emission scenario show an increase in cloud amount with an multi-model average ranging from about 0 to 8 percentage points (depending on the season and location) compared with the end of the 20th century, and with inter-model standard deviations of the same order of magnitude (</w:t>
      </w:r>
      <w:proofErr w:type="spellStart"/>
      <w:r w:rsidRPr="00B342B0">
        <w:rPr>
          <w:lang w:val="en-US"/>
        </w:rPr>
        <w:t>Vavrus</w:t>
      </w:r>
      <w:proofErr w:type="spellEnd"/>
      <w:r w:rsidRPr="00B342B0">
        <w:rPr>
          <w:lang w:val="en-US"/>
        </w:rPr>
        <w:t xml:space="preserve"> et al. 2009). These results are also found for most of the Arctic Ocean and surrounding seas (except notably the North Atlantic sector), and </w:t>
      </w:r>
      <w:proofErr w:type="spellStart"/>
      <w:r w:rsidRPr="00B342B0">
        <w:rPr>
          <w:lang w:val="en-US"/>
        </w:rPr>
        <w:t>Vavrus</w:t>
      </w:r>
      <w:proofErr w:type="spellEnd"/>
      <w:r w:rsidRPr="00B342B0">
        <w:rPr>
          <w:lang w:val="en-US"/>
        </w:rPr>
        <w:t xml:space="preserve"> et al. (2009) link them with a projected reduction in sea ice concentration and an increase in sea surface evaporation. However, using </w:t>
      </w:r>
      <w:proofErr w:type="gramStart"/>
      <w:r w:rsidRPr="00B342B0">
        <w:rPr>
          <w:lang w:val="en-US"/>
        </w:rPr>
        <w:t>an</w:t>
      </w:r>
      <w:proofErr w:type="gramEnd"/>
      <w:r w:rsidRPr="00B342B0">
        <w:rPr>
          <w:lang w:val="en-US"/>
        </w:rPr>
        <w:t xml:space="preserve"> CMIP5 ensemble and a different methodology, English et al. (2015) conclude that cloud amount is not projected to change significantly over any Arctic surface type. </w:t>
      </w:r>
      <w:proofErr w:type="spellStart"/>
      <w:r w:rsidRPr="00B342B0">
        <w:rPr>
          <w:lang w:val="en-US"/>
        </w:rPr>
        <w:t>Koenigk</w:t>
      </w:r>
      <w:proofErr w:type="spellEnd"/>
      <w:r w:rsidRPr="00B342B0">
        <w:rPr>
          <w:lang w:val="en-US"/>
        </w:rPr>
        <w:t xml:space="preserve"> et al. (2013) found widespread reductions in Arctic cloudiness of about 10 % (5 %, 2 %) for RCP8.5 (RCP4.5,  RCP2.6) during autumn from an analysis of EC-Earth model simulations, explained by warming dominating the increased specific humidity (leading to a decrease in relative humidity). These divergent results illustrate the large uncertainty in cloud cover change projections (Eisenman et al. 2007). Clouds are among the most challenging elements of the climate system to simulate, and this is particularly true for Arctic low-level mixed-phase clouds (English et al. 2015). Even from an observational viewpoint, Arctic cloud cover is difficult to characterize (</w:t>
      </w:r>
      <w:proofErr w:type="spellStart"/>
      <w:r w:rsidRPr="00B342B0">
        <w:rPr>
          <w:lang w:val="en-US"/>
        </w:rPr>
        <w:t>Koenigk</w:t>
      </w:r>
      <w:proofErr w:type="spellEnd"/>
      <w:r w:rsidRPr="00B342B0">
        <w:rPr>
          <w:lang w:val="en-US"/>
        </w:rPr>
        <w:t xml:space="preserve"> et al. 2013) as it does not fit well into the WMO standard cloud classification (Curry et al. 1996; Key et al. 2004).</w:t>
      </w:r>
    </w:p>
    <w:p w:rsidR="00B342B0" w:rsidRDefault="00B342B0" w:rsidP="00224B56">
      <w:pPr>
        <w:jc w:val="both"/>
        <w:rPr>
          <w:lang w:val="en-US"/>
        </w:rPr>
      </w:pPr>
    </w:p>
    <w:p w:rsidR="00B342B0" w:rsidRPr="009E6A51" w:rsidRDefault="00B342B0" w:rsidP="00224B56">
      <w:pPr>
        <w:jc w:val="both"/>
        <w:rPr>
          <w:b/>
          <w:sz w:val="24"/>
          <w:szCs w:val="24"/>
          <w:lang w:val="en-US"/>
        </w:rPr>
      </w:pPr>
      <w:r w:rsidRPr="009E6A51">
        <w:rPr>
          <w:b/>
          <w:sz w:val="24"/>
          <w:szCs w:val="24"/>
          <w:lang w:val="en-US"/>
        </w:rPr>
        <w:t xml:space="preserve">SM3.1.3.1 Snow </w:t>
      </w:r>
    </w:p>
    <w:p w:rsidR="00B342B0" w:rsidRDefault="00B342B0" w:rsidP="00224B56">
      <w:pPr>
        <w:jc w:val="both"/>
        <w:rPr>
          <w:lang w:val="en-US"/>
        </w:rPr>
      </w:pPr>
      <w:r w:rsidRPr="00B342B0">
        <w:rPr>
          <w:lang w:val="en-US"/>
        </w:rPr>
        <w:t xml:space="preserve">Snow cover is a dominant feature of the landscape in the BBDS region with a seasonal snow cover present from early October to mid-June based on daily snow depth observations made at Canadian climate stations (Table SM3.1).  Point snow depth observations made at climate stations may not be representative of surrounding areas but there is good agreement between estimates of variability in annual snow cover duration (SCD) over the Canadian land sector of the BBDS region from the surface observations and the NOAA satellite record (Figure SM3.3). The results provide evidence of a ~3 week decrease in the duration of snow on the ground since 1950. There are large uncertainties in trends in SCD and snow depth over the region across datasets related to different resolutions, different periods of data coverage and limitations of observations (e.g. cloud cover for satellite-based estimates of snow cover extent). This is clearly demonstrated in Figure SM3.4 which contrasts annual SCD trends from the 190.5 km NOAA satellite record with trends from the Liston and </w:t>
      </w:r>
      <w:proofErr w:type="spellStart"/>
      <w:r w:rsidRPr="00B342B0">
        <w:rPr>
          <w:lang w:val="en-US"/>
        </w:rPr>
        <w:t>Hiemstra</w:t>
      </w:r>
      <w:proofErr w:type="spellEnd"/>
      <w:r w:rsidRPr="00B342B0">
        <w:rPr>
          <w:lang w:val="en-US"/>
        </w:rPr>
        <w:t xml:space="preserve"> (2011) snow cover reconstruction from a physical snowpack model driven with 10-km downscaled reanalysis fields.</w:t>
      </w:r>
    </w:p>
    <w:p w:rsidR="00B342B0" w:rsidRPr="00B342B0" w:rsidRDefault="00B342B0" w:rsidP="00224B56">
      <w:pPr>
        <w:jc w:val="both"/>
        <w:rPr>
          <w:lang w:val="nb-NO"/>
        </w:rPr>
      </w:pPr>
      <w:r w:rsidRPr="00B342B0">
        <w:rPr>
          <w:lang w:val="nb-NO"/>
        </w:rPr>
        <w:lastRenderedPageBreak/>
        <w:t>Table SM3.1: Snow cover climatology for Canadian stations in or adjacent to the BBDS region with at least 15 years of complete daily snow depth data in the 1981-2010 period. Data are from Brown and Braaten (1998) updated with daily snow depth in the EC climate archive. Source: ArcticNet IRIS-2 report (Brown et al. 2016 in press.)</w:t>
      </w:r>
    </w:p>
    <w:tbl>
      <w:tblPr>
        <w:tblW w:w="0" w:type="auto"/>
        <w:jc w:val="center"/>
        <w:tblLook w:val="04A0" w:firstRow="1" w:lastRow="0" w:firstColumn="1" w:lastColumn="0" w:noHBand="0" w:noVBand="1"/>
      </w:tblPr>
      <w:tblGrid>
        <w:gridCol w:w="1534"/>
        <w:gridCol w:w="941"/>
        <w:gridCol w:w="941"/>
        <w:gridCol w:w="1214"/>
        <w:gridCol w:w="1214"/>
        <w:gridCol w:w="1047"/>
        <w:gridCol w:w="1110"/>
        <w:gridCol w:w="1068"/>
      </w:tblGrid>
      <w:tr w:rsidR="00B342B0" w:rsidRPr="001B729D" w:rsidTr="00302D78">
        <w:trPr>
          <w:trHeight w:hRule="exact" w:val="1977"/>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Name</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Lat (°N)</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Long (°W)</w:t>
            </w:r>
          </w:p>
        </w:tc>
        <w:tc>
          <w:tcPr>
            <w:tcW w:w="121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Mean start date of continuous snow cover*</w:t>
            </w:r>
          </w:p>
        </w:tc>
        <w:tc>
          <w:tcPr>
            <w:tcW w:w="121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Mean end date of continuous snow cover*</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Mean annual # days with snow cover^</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Mean annual maximum snow depth (cm)</w:t>
            </w:r>
          </w:p>
        </w:tc>
        <w:tc>
          <w:tcPr>
            <w:tcW w:w="1068"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302D78">
            <w:pPr>
              <w:rPr>
                <w:lang w:val="nb-NO"/>
              </w:rPr>
            </w:pPr>
            <w:r w:rsidRPr="00B342B0">
              <w:rPr>
                <w:lang w:val="nb-NO"/>
              </w:rPr>
              <w:t>Mean date of annual max snow depth</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Alert</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82.5</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-62.3</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Sep-08</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Jun-30</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298.6</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48.7</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Apr-11</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Arctic Bay</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73.0</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-84.6</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Sep-13</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Jun-22</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282.3</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39.4</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Mar-28</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Cape Dorset</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64.2</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-76.5</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Oct-09</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Jun-19</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254.7</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69.2</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Apr-30</w:t>
            </w:r>
          </w:p>
        </w:tc>
      </w:tr>
      <w:tr w:rsidR="00B342B0" w:rsidRPr="00B342B0" w:rsidTr="00302D78">
        <w:trPr>
          <w:trHeight w:hRule="exact" w:val="557"/>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Chesterfield Inlet</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63.3</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-90.7</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Oct-29</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Jun-04</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219.5</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n/a</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n/a</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Clyde</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70.5</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-68.5</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Sep-28</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Jun-25</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272.3</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57.5</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Apr-29</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Coral Harbour</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64.2</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-83.4</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Oct-13</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Jun-16</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247.8</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46.8</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Mar-29</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Eureka</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80.0</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-85.9</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Sep-23</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Jun-09</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263.3</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20.3</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Mar-26</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Hall Beach</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68.8</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-81.2</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Oct-07</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Jun-24</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261.9</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51.8</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Apr-20</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Igloolik</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69.4</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-81.8</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Oct-06</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Jun-12</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251.5</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40.1</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Apr-20</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Iqaluit</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63.7</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-68.5</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Oct-15</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Jun-08</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241.4</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44.4</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Mar-21</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Pelly Bay</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68.5</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-89.8</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Oct-07</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Jun-13</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250.7</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71.3</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Apr-20</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Pond Inlet</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72.7</w:t>
            </w:r>
          </w:p>
        </w:tc>
        <w:tc>
          <w:tcPr>
            <w:tcW w:w="941"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-78.0</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Sep-27</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Jun-06</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253.0</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34.6</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Feb-02</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Rankin Inlet</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62.8</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-92.1</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Oct-21</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Jun-07</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229.2</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46.6</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Apr-11</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Resolute</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74.7</w:t>
            </w:r>
          </w:p>
        </w:tc>
        <w:tc>
          <w:tcPr>
            <w:tcW w:w="941"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-95.0</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Sep-16</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Jun-22</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280.6</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30.9</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Mar-12</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Taloyoak</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69.6</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-93.6</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Oct-04</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Jun-19</w:t>
            </w:r>
          </w:p>
        </w:tc>
        <w:tc>
          <w:tcPr>
            <w:tcW w:w="1047"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259.3</w:t>
            </w:r>
          </w:p>
        </w:tc>
        <w:tc>
          <w:tcPr>
            <w:tcW w:w="1110" w:type="dxa"/>
            <w:tcBorders>
              <w:top w:val="single" w:sz="4" w:space="0" w:color="auto"/>
              <w:left w:val="single" w:sz="4" w:space="0" w:color="auto"/>
              <w:bottom w:val="single" w:sz="4" w:space="0" w:color="auto"/>
              <w:right w:val="single" w:sz="4" w:space="0" w:color="auto"/>
            </w:tcBorders>
            <w:hideMark/>
          </w:tcPr>
          <w:p w:rsidR="00B342B0" w:rsidRPr="00B342B0" w:rsidRDefault="00B342B0" w:rsidP="00224B56">
            <w:pPr>
              <w:jc w:val="both"/>
              <w:rPr>
                <w:lang w:val="nb-NO"/>
              </w:rPr>
            </w:pPr>
            <w:r w:rsidRPr="00B342B0">
              <w:rPr>
                <w:lang w:val="nb-NO"/>
              </w:rPr>
              <w:t>33.7</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Apr-26</w:t>
            </w:r>
          </w:p>
        </w:tc>
      </w:tr>
      <w:tr w:rsidR="00B342B0" w:rsidRPr="00B342B0" w:rsidTr="00302D78">
        <w:trPr>
          <w:trHeight w:hRule="exact" w:val="284"/>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Whale Cove</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62.2</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-92.6</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Nov-04</w:t>
            </w:r>
          </w:p>
        </w:tc>
        <w:tc>
          <w:tcPr>
            <w:tcW w:w="1214"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Jun-02</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211.9</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n/a</w:t>
            </w:r>
          </w:p>
        </w:tc>
        <w:tc>
          <w:tcPr>
            <w:tcW w:w="1068" w:type="dxa"/>
            <w:tcBorders>
              <w:top w:val="single" w:sz="4" w:space="0" w:color="auto"/>
              <w:left w:val="single" w:sz="4" w:space="0" w:color="auto"/>
              <w:bottom w:val="single" w:sz="4" w:space="0" w:color="auto"/>
              <w:right w:val="single" w:sz="4" w:space="0" w:color="auto"/>
            </w:tcBorders>
            <w:vAlign w:val="bottom"/>
            <w:hideMark/>
          </w:tcPr>
          <w:p w:rsidR="00B342B0" w:rsidRPr="00B342B0" w:rsidRDefault="00B342B0" w:rsidP="00224B56">
            <w:pPr>
              <w:jc w:val="both"/>
              <w:rPr>
                <w:lang w:val="nb-NO"/>
              </w:rPr>
            </w:pPr>
            <w:r w:rsidRPr="00B342B0">
              <w:rPr>
                <w:lang w:val="nb-NO"/>
              </w:rPr>
              <w:t>n/a</w:t>
            </w:r>
          </w:p>
        </w:tc>
      </w:tr>
      <w:tr w:rsidR="00B342B0" w:rsidRPr="00B342B0" w:rsidTr="00302D78">
        <w:trPr>
          <w:trHeight w:hRule="exact" w:val="968"/>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15-station regional average</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69.4</w:t>
            </w:r>
          </w:p>
        </w:tc>
        <w:tc>
          <w:tcPr>
            <w:tcW w:w="941"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-82.8</w:t>
            </w:r>
          </w:p>
        </w:tc>
        <w:tc>
          <w:tcPr>
            <w:tcW w:w="121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Oct-05</w:t>
            </w:r>
          </w:p>
        </w:tc>
        <w:tc>
          <w:tcPr>
            <w:tcW w:w="1214"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Jun-15</w:t>
            </w:r>
          </w:p>
        </w:tc>
        <w:tc>
          <w:tcPr>
            <w:tcW w:w="1047"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254.9</w:t>
            </w:r>
          </w:p>
        </w:tc>
        <w:tc>
          <w:tcPr>
            <w:tcW w:w="1110"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45.4</w:t>
            </w:r>
          </w:p>
        </w:tc>
        <w:tc>
          <w:tcPr>
            <w:tcW w:w="1068" w:type="dxa"/>
            <w:tcBorders>
              <w:top w:val="single" w:sz="4" w:space="0" w:color="auto"/>
              <w:left w:val="single" w:sz="4" w:space="0" w:color="auto"/>
              <w:bottom w:val="single" w:sz="4" w:space="0" w:color="auto"/>
              <w:right w:val="single" w:sz="4" w:space="0" w:color="auto"/>
            </w:tcBorders>
            <w:vAlign w:val="center"/>
            <w:hideMark/>
          </w:tcPr>
          <w:p w:rsidR="00B342B0" w:rsidRPr="00B342B0" w:rsidRDefault="00B342B0" w:rsidP="00224B56">
            <w:pPr>
              <w:jc w:val="both"/>
              <w:rPr>
                <w:lang w:val="nb-NO"/>
              </w:rPr>
            </w:pPr>
            <w:r w:rsidRPr="00B342B0">
              <w:rPr>
                <w:lang w:val="nb-NO"/>
              </w:rPr>
              <w:t>Apr-05</w:t>
            </w:r>
          </w:p>
        </w:tc>
      </w:tr>
    </w:tbl>
    <w:p w:rsidR="00B342B0" w:rsidRPr="00B342B0" w:rsidRDefault="00B342B0" w:rsidP="00224B56">
      <w:pPr>
        <w:jc w:val="both"/>
        <w:rPr>
          <w:lang w:val="nb-NO"/>
        </w:rPr>
      </w:pPr>
      <w:r w:rsidRPr="00B342B0">
        <w:rPr>
          <w:lang w:val="nb-NO"/>
        </w:rPr>
        <w:t>* Defined as the first (last) date in the year with 14 consecutive days of snow depths ≥ (&lt;) 2 cm.</w:t>
      </w:r>
      <w:r w:rsidR="00302D78">
        <w:rPr>
          <w:lang w:val="nb-NO"/>
        </w:rPr>
        <w:br/>
      </w:r>
      <w:r w:rsidRPr="00B342B0">
        <w:rPr>
          <w:lang w:val="nb-NO"/>
        </w:rPr>
        <w:t>^ Day with ≥ 2 cm snow on ground.</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229DF9BE" wp14:editId="2182A95E">
            <wp:extent cx="5082540" cy="2860040"/>
            <wp:effectExtent l="0" t="0" r="22860" b="165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216B68" w:rsidRDefault="00B342B0" w:rsidP="00224B56">
      <w:pPr>
        <w:jc w:val="both"/>
        <w:rPr>
          <w:lang w:val="nb-NO"/>
        </w:rPr>
      </w:pPr>
      <w:r w:rsidRPr="00B342B0">
        <w:rPr>
          <w:lang w:val="nb-NO"/>
        </w:rPr>
        <w:t>Figure SM3.3: Regionally-averaged anomalies (days) in annual snow cover duration from surface stations (STNS) and the NOAA-CDR satellite dataset  (Estilow et al. 2015) over the Canadian land sector of the BBDS region. Anomalies are computed with respect to a 1981-2010 reference period. [Source: ArcticNet IRIS-2 report (Brown et al. 2016 in press]</w:t>
      </w:r>
    </w:p>
    <w:p w:rsidR="00B342B0" w:rsidRDefault="00B342B0" w:rsidP="00771B1D">
      <w:pPr>
        <w:jc w:val="center"/>
        <w:rPr>
          <w:lang w:val="nb-NO"/>
        </w:rPr>
      </w:pPr>
      <w:r w:rsidRPr="009154A9">
        <w:rPr>
          <w:rFonts w:ascii="Arial" w:hAnsi="Arial" w:cs="Arial"/>
          <w:noProof/>
          <w:color w:val="000000"/>
          <w:sz w:val="24"/>
          <w:szCs w:val="24"/>
          <w:lang w:eastAsia="da-DK"/>
        </w:rPr>
        <w:drawing>
          <wp:inline distT="0" distB="0" distL="0" distR="0" wp14:anchorId="2CA84F98" wp14:editId="500248E5">
            <wp:extent cx="5252720" cy="3636645"/>
            <wp:effectExtent l="0" t="0" r="508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2720" cy="3636645"/>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SM3.4: Trend (days/10y) in annual snow cover duration (number of days with snow cover each year) estimated from the (a) NOAA CDR (Estilow et al. 2015) and (b) Liston and Hiemstra (2011) datasets. Note the different time periods covered by each dataset.  The solid dots in the NOAA plot signify locally significant trends at the 0.05 level. [Prepared by Ross Brown, EC]</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02B34865" wp14:editId="32ECFDF2">
            <wp:extent cx="5486400" cy="66986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6698615"/>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SM3.5: Projected relative (%) change in mean annual monthly maximum SWE from 16 CMIP5 models for emission scenario RCP4.5. Results are shown for the median (50%) and  upper (75%) and lower (25%) quartiles.  2025 corresponds to the 2016-2035 average, 2055 to the 2046-2065 average, and 2090 to the 2081-2100 average. [Source: SWIPA update report (Brown et al. 2017 in press)].</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48D6E9AF" wp14:editId="77CFB4F7">
            <wp:extent cx="5475605" cy="669861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5605" cy="6698615"/>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SM3.6: Same as Figure SM3.5, but for emission scenario RCP8.5. [Source: SWIPA update report (Brown et al. 2017 in press)].</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765E5220" wp14:editId="1B819322">
            <wp:extent cx="5273675" cy="6698615"/>
            <wp:effectExtent l="0" t="0" r="317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6698615"/>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SM3.7: Projected relative (%) change in mean annual SCD from 16 CMIP5 models for emission scenario RCP4.5. Panel organization follows Figure SM3.5. [Source: SWIPA update report (Brown et al. 2017 in press)].</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54F63C6B" wp14:editId="0578B023">
            <wp:extent cx="5262880" cy="66986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2880" cy="6698615"/>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SM3.8: Same as Figure SM3.7, but for RCP8.5. [Source: SWIPA update report (Brown et al. 2017 in press)].</w:t>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0209EB56" wp14:editId="5195F3B2">
            <wp:extent cx="5486400" cy="29133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2913380"/>
                    </a:xfrm>
                    <a:prstGeom prst="rect">
                      <a:avLst/>
                    </a:prstGeom>
                    <a:noFill/>
                    <a:ln>
                      <a:noFill/>
                    </a:ln>
                  </pic:spPr>
                </pic:pic>
              </a:graphicData>
            </a:graphic>
          </wp:inline>
        </w:drawing>
      </w:r>
    </w:p>
    <w:p w:rsidR="00771B1D" w:rsidRDefault="00B342B0" w:rsidP="00224B56">
      <w:pPr>
        <w:jc w:val="both"/>
        <w:rPr>
          <w:lang w:val="nb-NO"/>
        </w:rPr>
      </w:pPr>
      <w:r w:rsidRPr="00B342B0">
        <w:rPr>
          <w:lang w:val="nb-NO"/>
        </w:rPr>
        <w:t>Figure SM3.9. Evolution of projected change (%) in monthly SWE over BBDS non-glacier land areas (25, 50 and 75% percentiles of 16 CMIP5 model runs) for RCP4.5 and RCP8.5.  Change units are the % difference of 20-year periods with respect to the 1986-2005 average from the historical experiment simulations. The lines p25, p50 and p75 correspond to the median and lower and upper quartiles from the 16 model ensemble. The 20-year averaging periods used were: 2025 (2016-2035), 2055 (2046-2065), 2090 (2080-2099). [Prepared by Ross Brown, EC]</w:t>
      </w:r>
    </w:p>
    <w:p w:rsidR="00771B1D" w:rsidRDefault="00771B1D">
      <w:pPr>
        <w:rPr>
          <w:lang w:val="nb-NO"/>
        </w:rPr>
      </w:pPr>
      <w:r>
        <w:rPr>
          <w:lang w:val="nb-NO"/>
        </w:rPr>
        <w:br w:type="page"/>
      </w:r>
    </w:p>
    <w:p w:rsidR="00B342B0" w:rsidRDefault="00B342B0" w:rsidP="00771B1D">
      <w:pPr>
        <w:jc w:val="center"/>
        <w:rPr>
          <w:lang w:val="nb-NO"/>
        </w:rPr>
      </w:pPr>
      <w:r w:rsidRPr="009154A9">
        <w:rPr>
          <w:rFonts w:ascii="Arial" w:hAnsi="Arial" w:cs="Arial"/>
          <w:i/>
          <w:noProof/>
          <w:color w:val="000000"/>
          <w:sz w:val="24"/>
          <w:szCs w:val="24"/>
          <w:lang w:eastAsia="da-DK"/>
        </w:rPr>
        <w:lastRenderedPageBreak/>
        <w:drawing>
          <wp:inline distT="0" distB="0" distL="0" distR="0" wp14:anchorId="00B2C904" wp14:editId="65D63E4C">
            <wp:extent cx="3476625" cy="331724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6625" cy="3317240"/>
                    </a:xfrm>
                    <a:prstGeom prst="rect">
                      <a:avLst/>
                    </a:prstGeom>
                    <a:noFill/>
                    <a:ln>
                      <a:noFill/>
                    </a:ln>
                  </pic:spPr>
                </pic:pic>
              </a:graphicData>
            </a:graphic>
          </wp:inline>
        </w:drawing>
      </w:r>
    </w:p>
    <w:p w:rsidR="00B342B0" w:rsidRDefault="00B342B0" w:rsidP="00771B1D">
      <w:pPr>
        <w:jc w:val="center"/>
        <w:rPr>
          <w:lang w:val="nb-NO"/>
        </w:rPr>
      </w:pPr>
      <w:r w:rsidRPr="009154A9">
        <w:rPr>
          <w:rFonts w:ascii="Arial" w:hAnsi="Arial" w:cs="Arial"/>
          <w:i/>
          <w:noProof/>
          <w:color w:val="000000"/>
          <w:sz w:val="24"/>
          <w:szCs w:val="24"/>
          <w:lang w:eastAsia="da-DK"/>
        </w:rPr>
        <w:drawing>
          <wp:inline distT="0" distB="0" distL="0" distR="0" wp14:anchorId="6720CB04" wp14:editId="701942D9">
            <wp:extent cx="3466465" cy="331724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66465" cy="3317240"/>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SM3.10: Projected relative (%) changes in SWEmax (top) and annual SCD (bottom) over the BBDS region from the CanRCM4 regional climate model driven by the CanESM2 earth system model.  SCD change is not computed over points with permanent snow cover. The glacier mask was not applied to CanRCM4 SWEmax changes as this destroys the spatial continuity of the field. The southern limit of the CORDEX Arctic domain crosses the northern tip of Ungava peninsula. [Prepared by Ross Brown, EC]</w:t>
      </w:r>
    </w:p>
    <w:p w:rsidR="00B342B0" w:rsidRDefault="00B342B0" w:rsidP="00224B56">
      <w:pPr>
        <w:jc w:val="both"/>
        <w:rPr>
          <w:lang w:val="nb-NO"/>
        </w:rPr>
      </w:pPr>
    </w:p>
    <w:p w:rsidR="00B342B0" w:rsidRPr="009E6A51" w:rsidRDefault="00B342B0" w:rsidP="00224B56">
      <w:pPr>
        <w:jc w:val="both"/>
        <w:rPr>
          <w:b/>
          <w:sz w:val="24"/>
          <w:szCs w:val="24"/>
          <w:lang w:val="nb-NO"/>
        </w:rPr>
      </w:pPr>
      <w:r w:rsidRPr="009E6A51">
        <w:rPr>
          <w:b/>
          <w:sz w:val="24"/>
          <w:szCs w:val="24"/>
          <w:lang w:val="nb-NO"/>
        </w:rPr>
        <w:lastRenderedPageBreak/>
        <w:t xml:space="preserve">SM3.1.4 Ocean </w:t>
      </w:r>
    </w:p>
    <w:p w:rsidR="00B342B0" w:rsidRPr="00B342B0" w:rsidRDefault="00B342B0" w:rsidP="00224B56">
      <w:pPr>
        <w:jc w:val="both"/>
        <w:rPr>
          <w:lang w:val="nb-NO"/>
        </w:rPr>
      </w:pPr>
      <w:r w:rsidRPr="00B342B0">
        <w:rPr>
          <w:lang w:val="nb-NO"/>
        </w:rPr>
        <w:t>There are three principal inputs of freshwater to the Baffin Bay: CAA passages, the West Greenland Current and the Greenland Ice Sheet. Section 3.1.4.1 discusses the mean values and relative contributions of these inputs. As also discussed there, variability plays a significant role and as an illustration, Figure SM3.11 provides an example from Barrow Strait of the seasonal and interannual variability of the transport through Barrow Strait.</w:t>
      </w:r>
    </w:p>
    <w:p w:rsidR="00B342B0" w:rsidRDefault="00B342B0" w:rsidP="00224B56">
      <w:pPr>
        <w:jc w:val="both"/>
        <w:rPr>
          <w:lang w:val="nb-NO"/>
        </w:rPr>
      </w:pPr>
      <w:r w:rsidRPr="00B342B0">
        <w:rPr>
          <w:lang w:val="nb-NO"/>
        </w:rPr>
        <w:t>Section 3.1.4.3 discusses projected changes in the strength of near-surface currents for the two periods 2016-2035 and 2081-2100 relative to 1986-2005 for the RCP8.5 scenario for three global models. Here we show in Figure SM3.12 the same but for the cooler RCP4.5 scenario.</w:t>
      </w:r>
    </w:p>
    <w:p w:rsidR="00B342B0" w:rsidRDefault="00B342B0" w:rsidP="00771B1D">
      <w:pPr>
        <w:jc w:val="center"/>
        <w:rPr>
          <w:lang w:val="nb-NO"/>
        </w:rPr>
      </w:pPr>
      <w:r w:rsidRPr="009154A9">
        <w:rPr>
          <w:rFonts w:ascii="Arial" w:hAnsi="Arial" w:cs="Arial"/>
          <w:noProof/>
          <w:sz w:val="24"/>
          <w:szCs w:val="24"/>
          <w:lang w:eastAsia="da-DK"/>
        </w:rPr>
        <w:drawing>
          <wp:inline distT="0" distB="0" distL="0" distR="0" wp14:anchorId="14267C57" wp14:editId="237CD2AD">
            <wp:extent cx="5943600" cy="232664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342B0" w:rsidRDefault="00B342B0" w:rsidP="00224B56">
      <w:pPr>
        <w:jc w:val="both"/>
        <w:rPr>
          <w:lang w:val="nb-NO"/>
        </w:rPr>
      </w:pPr>
      <w:r w:rsidRPr="00B342B0">
        <w:rPr>
          <w:lang w:val="nb-NO"/>
        </w:rPr>
        <w:t>Figure SM3.11:  Thirteen year time series of freshwater transport through Barrow Strait from instrumented mooring data. [Source: Peterson et al. (2012)].</w:t>
      </w:r>
    </w:p>
    <w:p w:rsidR="00B342B0" w:rsidRDefault="00B342B0" w:rsidP="00771B1D">
      <w:pPr>
        <w:jc w:val="center"/>
        <w:rPr>
          <w:lang w:val="nb-NO"/>
        </w:rPr>
      </w:pPr>
      <w:r w:rsidRPr="009154A9">
        <w:rPr>
          <w:rFonts w:ascii="Arial" w:hAnsi="Arial" w:cs="Arial"/>
          <w:noProof/>
          <w:color w:val="4F81BD" w:themeColor="accent1"/>
          <w:sz w:val="24"/>
          <w:szCs w:val="24"/>
          <w:lang w:eastAsia="da-DK"/>
        </w:rPr>
        <w:lastRenderedPageBreak/>
        <w:drawing>
          <wp:inline distT="0" distB="0" distL="0" distR="0" wp14:anchorId="06AAEBC0" wp14:editId="6622E15D">
            <wp:extent cx="5943600" cy="5485765"/>
            <wp:effectExtent l="0" t="0" r="0" b="635"/>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_anomalies_current_rcp45_000m-050m_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5485765"/>
                    </a:xfrm>
                    <a:prstGeom prst="rect">
                      <a:avLst/>
                    </a:prstGeom>
                  </pic:spPr>
                </pic:pic>
              </a:graphicData>
            </a:graphic>
          </wp:inline>
        </w:drawing>
      </w:r>
    </w:p>
    <w:p w:rsidR="00B342B0" w:rsidRDefault="00B342B0" w:rsidP="00224B56">
      <w:pPr>
        <w:jc w:val="both"/>
        <w:rPr>
          <w:lang w:val="nb-NO"/>
        </w:rPr>
      </w:pPr>
      <w:r w:rsidRPr="00B342B0">
        <w:rPr>
          <w:lang w:val="nb-NO"/>
        </w:rPr>
        <w:t>Figure SM3.12: Same as Figure 3.16, but for RCP4.5 emission scenario. [Prepared by Nicolas Lambert, Maurice-Lamontagne Institute, Fisheries and Oceans Canada]</w:t>
      </w:r>
    </w:p>
    <w:p w:rsidR="00B342B0" w:rsidRDefault="00B342B0" w:rsidP="00224B56">
      <w:pPr>
        <w:jc w:val="both"/>
        <w:rPr>
          <w:lang w:val="nb-NO"/>
        </w:rPr>
      </w:pPr>
    </w:p>
    <w:p w:rsidR="00B342B0" w:rsidRPr="009E6A51" w:rsidRDefault="00B342B0" w:rsidP="00224B56">
      <w:pPr>
        <w:jc w:val="both"/>
        <w:rPr>
          <w:b/>
          <w:sz w:val="24"/>
          <w:szCs w:val="24"/>
          <w:lang w:val="nb-NO"/>
        </w:rPr>
      </w:pPr>
      <w:r w:rsidRPr="009E6A51">
        <w:rPr>
          <w:b/>
          <w:sz w:val="24"/>
          <w:szCs w:val="24"/>
          <w:lang w:val="nb-NO"/>
        </w:rPr>
        <w:t xml:space="preserve">SM3.1.5 Sea ice </w:t>
      </w:r>
    </w:p>
    <w:p w:rsidR="00B342B0" w:rsidRPr="00B342B0" w:rsidRDefault="00B342B0" w:rsidP="00224B56">
      <w:pPr>
        <w:jc w:val="both"/>
        <w:rPr>
          <w:lang w:val="nb-NO"/>
        </w:rPr>
      </w:pPr>
      <w:r w:rsidRPr="00B342B0">
        <w:rPr>
          <w:lang w:val="nb-NO"/>
        </w:rPr>
        <w:t>As discussed in Section 3.1.5.1, the BBDS region has experienced a 20% loss in July-November sea ice extent over the period from 1981-2014 (Figure SM3.13), with most of the change occurring in the period after 1998. 2006 had the lowest ice cover in the period of regular satellite observations.</w:t>
      </w:r>
    </w:p>
    <w:p w:rsidR="00B342B0" w:rsidRPr="00B342B0" w:rsidRDefault="00B342B0" w:rsidP="00224B56">
      <w:pPr>
        <w:jc w:val="both"/>
        <w:rPr>
          <w:lang w:val="nb-NO"/>
        </w:rPr>
      </w:pPr>
      <w:r w:rsidRPr="00B342B0">
        <w:rPr>
          <w:lang w:val="nb-NO"/>
        </w:rPr>
        <w:t>With respect to landfast ice, Yu et al. (2014) documented a -4.5%/decade decrease in winter landfast ice area over Baffin Bay over the 1976-2007 period which was not statistically significant. However, their Baffin Bay regional time series of winter landfast ice area (Figure SM3.14) shows a ~50% reduction in landfast ice extent over the period from 1994 to 2005.</w:t>
      </w:r>
    </w:p>
    <w:p w:rsidR="00B342B0" w:rsidRDefault="00B342B0" w:rsidP="00224B56">
      <w:pPr>
        <w:jc w:val="both"/>
        <w:rPr>
          <w:lang w:val="nb-NO"/>
        </w:rPr>
      </w:pPr>
      <w:r w:rsidRPr="00B342B0">
        <w:rPr>
          <w:lang w:val="nb-NO"/>
        </w:rPr>
        <w:lastRenderedPageBreak/>
        <w:t>Section 3.1.5.2 discusses projected changes in sea ice concentration and thickness and shows multi-model ensemble projections of these quantities for RCP4.5 in fall (SON) and winter (DJF) in Figures 3.20 and 3.21. Here we show, in Figures SM3.15-SM3.20, the same for all four seasons, and for the three scenraios RCP2.6, RCP4.5 and RCP8.5.</w:t>
      </w:r>
    </w:p>
    <w:p w:rsidR="009E6A51" w:rsidRDefault="009E6A51" w:rsidP="00224B56">
      <w:pPr>
        <w:jc w:val="both"/>
        <w:rPr>
          <w:lang w:val="nb-NO"/>
        </w:rPr>
      </w:pPr>
    </w:p>
    <w:p w:rsidR="00B342B0" w:rsidRDefault="00B342B0" w:rsidP="00771B1D">
      <w:pPr>
        <w:jc w:val="center"/>
        <w:rPr>
          <w:lang w:val="nb-NO"/>
        </w:rPr>
      </w:pPr>
      <w:r w:rsidRPr="00624B36">
        <w:rPr>
          <w:rFonts w:ascii="Arial" w:eastAsia="MS Mincho" w:hAnsi="Arial" w:cs="Arial"/>
          <w:noProof/>
          <w:lang w:eastAsia="da-DK"/>
        </w:rPr>
        <w:drawing>
          <wp:inline distT="0" distB="0" distL="0" distR="0" wp14:anchorId="632CAAF6" wp14:editId="43A79B13">
            <wp:extent cx="4109720" cy="3175000"/>
            <wp:effectExtent l="0" t="0" r="5080" b="6350"/>
            <wp:docPr id="1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09720" cy="3175000"/>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SM3.13: July-November sea ice cover (%) over the Eastern Canadian Arctic region (red area on inset map) for the period 1981-2014. The green line is the median ice extent from 1981-2010. [Source: Canadian Ice Service (</w:t>
      </w:r>
      <w:r w:rsidR="001B729D">
        <w:fldChar w:fldCharType="begin"/>
      </w:r>
      <w:r w:rsidR="001B729D" w:rsidRPr="001B729D">
        <w:rPr>
          <w:lang w:val="en-US"/>
        </w:rPr>
        <w:instrText xml:space="preserve"> HYPERLINK "http://ice-glaces.ec.gc.ca/App/WsvPrdCanQry.cfm?CanID=11090&amp;Lang=eng" </w:instrText>
      </w:r>
      <w:r w:rsidR="001B729D">
        <w:fldChar w:fldCharType="separate"/>
      </w:r>
      <w:r w:rsidRPr="00CE60AC">
        <w:rPr>
          <w:rStyle w:val="Hyperlink"/>
          <w:lang w:val="nb-NO"/>
        </w:rPr>
        <w:t>http://ice-glaces.ec.gc.ca/App/WsvPrdCanQry.cfm?CanID=11090&amp;Lang=eng</w:t>
      </w:r>
      <w:r w:rsidR="001B729D">
        <w:rPr>
          <w:rStyle w:val="Hyperlink"/>
          <w:lang w:val="nb-NO"/>
        </w:rPr>
        <w:fldChar w:fldCharType="end"/>
      </w:r>
      <w:r w:rsidRPr="00B342B0">
        <w:rPr>
          <w:lang w:val="nb-NO"/>
        </w:rPr>
        <w:t>)]</w:t>
      </w:r>
    </w:p>
    <w:p w:rsidR="009E6A51" w:rsidRDefault="009E6A51" w:rsidP="00224B56">
      <w:pPr>
        <w:jc w:val="both"/>
        <w:rPr>
          <w:lang w:val="nb-NO"/>
        </w:rPr>
      </w:pPr>
    </w:p>
    <w:p w:rsidR="00771B1D" w:rsidRDefault="00771B1D" w:rsidP="00224B56">
      <w:pPr>
        <w:jc w:val="both"/>
        <w:rPr>
          <w:lang w:val="nb-NO"/>
        </w:rPr>
      </w:pPr>
    </w:p>
    <w:p w:rsidR="00B342B0" w:rsidRDefault="00B342B0" w:rsidP="00771B1D">
      <w:pPr>
        <w:jc w:val="center"/>
        <w:rPr>
          <w:lang w:val="nb-NO"/>
        </w:rPr>
      </w:pPr>
      <w:r w:rsidRPr="00624B36">
        <w:rPr>
          <w:rFonts w:ascii="Arial" w:eastAsia="MS Mincho" w:hAnsi="Arial" w:cs="Arial"/>
          <w:noProof/>
          <w:lang w:eastAsia="da-DK"/>
        </w:rPr>
        <w:drawing>
          <wp:inline distT="0" distB="0" distL="0" distR="0" wp14:anchorId="0FF4FD79" wp14:editId="44ACCF11">
            <wp:extent cx="5677535" cy="1356360"/>
            <wp:effectExtent l="0" t="0" r="0" b="0"/>
            <wp:docPr id="10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77535" cy="1356360"/>
                    </a:xfrm>
                    <a:prstGeom prst="rect">
                      <a:avLst/>
                    </a:prstGeom>
                    <a:noFill/>
                    <a:ln>
                      <a:noFill/>
                    </a:ln>
                  </pic:spPr>
                </pic:pic>
              </a:graphicData>
            </a:graphic>
          </wp:inline>
        </w:drawing>
      </w:r>
    </w:p>
    <w:p w:rsidR="00B342B0" w:rsidRDefault="00B342B0" w:rsidP="00224B56">
      <w:pPr>
        <w:jc w:val="both"/>
        <w:rPr>
          <w:lang w:val="nb-NO"/>
        </w:rPr>
      </w:pPr>
      <w:r w:rsidRPr="00B342B0">
        <w:rPr>
          <w:lang w:val="nb-NO"/>
        </w:rPr>
        <w:t>Figure SM3.14: Time series of weekly landfast ice thickness extent (104 km2) for the Baffin Bay region. [Source: Yu et al. (2014)]</w:t>
      </w:r>
    </w:p>
    <w:p w:rsidR="00B342B0" w:rsidRPr="00624B36" w:rsidRDefault="00B342B0" w:rsidP="00224B56">
      <w:pPr>
        <w:contextualSpacing/>
        <w:jc w:val="both"/>
        <w:rPr>
          <w:rFonts w:ascii="Arial" w:eastAsia="MS Mincho" w:hAnsi="Arial" w:cs="Arial"/>
          <w:color w:val="FF0000"/>
          <w:lang w:val="en-US" w:eastAsia="fr-FR"/>
        </w:rPr>
      </w:pPr>
    </w:p>
    <w:p w:rsidR="00B342B0" w:rsidRPr="00624B36" w:rsidRDefault="00B342B0" w:rsidP="00771B1D">
      <w:pPr>
        <w:contextualSpacing/>
        <w:jc w:val="center"/>
        <w:rPr>
          <w:rFonts w:ascii="Arial" w:eastAsia="MS Mincho" w:hAnsi="Arial" w:cs="Arial"/>
          <w:color w:val="FF0000"/>
          <w:lang w:val="en-US" w:eastAsia="fr-FR"/>
        </w:rPr>
      </w:pPr>
      <w:r w:rsidRPr="00624B36">
        <w:rPr>
          <w:rFonts w:ascii="Arial" w:eastAsia="MS Mincho" w:hAnsi="Arial" w:cs="Arial"/>
          <w:noProof/>
          <w:color w:val="FF0000"/>
          <w:lang w:eastAsia="da-DK"/>
        </w:rPr>
        <w:lastRenderedPageBreak/>
        <w:drawing>
          <wp:inline distT="0" distB="0" distL="0" distR="0" wp14:anchorId="34909D49" wp14:editId="2AEED8C1">
            <wp:extent cx="2952000" cy="2048400"/>
            <wp:effectExtent l="0" t="0" r="1270" b="9525"/>
            <wp:docPr id="10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26_Global_SON_anomaly_BBDS.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2000" cy="2048400"/>
                    </a:xfrm>
                    <a:prstGeom prst="rect">
                      <a:avLst/>
                    </a:prstGeom>
                  </pic:spPr>
                </pic:pic>
              </a:graphicData>
            </a:graphic>
          </wp:inline>
        </w:drawing>
      </w:r>
      <w:r w:rsidRPr="00624B36">
        <w:rPr>
          <w:rFonts w:ascii="Arial" w:eastAsia="MS Mincho" w:hAnsi="Arial" w:cs="Arial"/>
          <w:noProof/>
          <w:color w:val="FF0000"/>
          <w:lang w:eastAsia="da-DK"/>
        </w:rPr>
        <w:drawing>
          <wp:inline distT="0" distB="0" distL="0" distR="0" wp14:anchorId="445C6324" wp14:editId="27542416">
            <wp:extent cx="2952000" cy="2088000"/>
            <wp:effectExtent l="0" t="0" r="1270" b="7620"/>
            <wp:docPr id="10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26_Global_DJF_anomaly_BBDS.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52000" cy="2088000"/>
                    </a:xfrm>
                    <a:prstGeom prst="rect">
                      <a:avLst/>
                    </a:prstGeom>
                  </pic:spPr>
                </pic:pic>
              </a:graphicData>
            </a:graphic>
          </wp:inline>
        </w:drawing>
      </w:r>
    </w:p>
    <w:p w:rsidR="00B342B0" w:rsidRPr="00624B36" w:rsidRDefault="00B342B0" w:rsidP="00771B1D">
      <w:pPr>
        <w:contextualSpacing/>
        <w:jc w:val="center"/>
        <w:rPr>
          <w:rFonts w:ascii="Arial" w:eastAsia="MS Mincho" w:hAnsi="Arial" w:cs="Arial"/>
          <w:color w:val="FF0000"/>
          <w:lang w:val="en-US" w:eastAsia="fr-FR"/>
        </w:rPr>
      </w:pPr>
      <w:r w:rsidRPr="00624B36">
        <w:rPr>
          <w:rFonts w:ascii="Arial" w:eastAsia="MS Mincho" w:hAnsi="Arial" w:cs="Arial"/>
          <w:noProof/>
          <w:color w:val="FF0000"/>
          <w:lang w:eastAsia="da-DK"/>
        </w:rPr>
        <w:drawing>
          <wp:inline distT="0" distB="0" distL="0" distR="0" wp14:anchorId="2F1DA6BC" wp14:editId="1F923FD5">
            <wp:extent cx="2952000" cy="2084400"/>
            <wp:effectExtent l="0" t="0" r="1270" b="0"/>
            <wp:docPr id="10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26_Global_MAM_anomaly_BBDS.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52000" cy="2084400"/>
                    </a:xfrm>
                    <a:prstGeom prst="rect">
                      <a:avLst/>
                    </a:prstGeom>
                  </pic:spPr>
                </pic:pic>
              </a:graphicData>
            </a:graphic>
          </wp:inline>
        </w:drawing>
      </w:r>
      <w:r w:rsidRPr="00624B36">
        <w:rPr>
          <w:rFonts w:ascii="Arial" w:eastAsia="MS Mincho" w:hAnsi="Arial" w:cs="Arial"/>
          <w:noProof/>
          <w:color w:val="FF0000"/>
          <w:lang w:eastAsia="da-DK"/>
        </w:rPr>
        <w:drawing>
          <wp:inline distT="0" distB="0" distL="0" distR="0" wp14:anchorId="60695AFC" wp14:editId="44D45156">
            <wp:extent cx="2952000" cy="2124000"/>
            <wp:effectExtent l="0" t="0" r="1270" b="0"/>
            <wp:docPr id="10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26_Global_JJA_anomaly_BBDS.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52000" cy="2124000"/>
                    </a:xfrm>
                    <a:prstGeom prst="rect">
                      <a:avLst/>
                    </a:prstGeom>
                  </pic:spPr>
                </pic:pic>
              </a:graphicData>
            </a:graphic>
          </wp:inline>
        </w:drawing>
      </w:r>
    </w:p>
    <w:p w:rsidR="00771B1D" w:rsidRDefault="000A7881" w:rsidP="00224B56">
      <w:pPr>
        <w:jc w:val="both"/>
        <w:rPr>
          <w:lang w:val="nb-NO"/>
        </w:rPr>
      </w:pPr>
      <w:r w:rsidRPr="000A7881">
        <w:rPr>
          <w:lang w:val="nb-NO"/>
        </w:rPr>
        <w:t>Figure SM3.15: 29 member CMIP5 multi-model projected change in seasonal sea-ice concentration (change in % concentration relative to 1986-2005 average) for RCP2.6 scenario. Results are shown for three periods in the future: 2016-2035 (labelled 2020s), 2046-2065 (labelled 2050s) and 2081-2100 (labelled 2080s), and illustrate the 25th, 50th and 75th percentile changes projected by the 29 CMIP5 models used (see BCB report for listing of models). [Prepared by Robin Rong, EC/CCCma]</w:t>
      </w:r>
    </w:p>
    <w:p w:rsidR="00771B1D" w:rsidRDefault="00771B1D">
      <w:pPr>
        <w:rPr>
          <w:lang w:val="nb-NO"/>
        </w:rPr>
      </w:pPr>
      <w:r>
        <w:rPr>
          <w:lang w:val="nb-NO"/>
        </w:rPr>
        <w:br w:type="page"/>
      </w:r>
    </w:p>
    <w:p w:rsidR="000A7881" w:rsidRDefault="000A7881" w:rsidP="00771B1D">
      <w:pPr>
        <w:contextualSpacing/>
        <w:jc w:val="center"/>
        <w:rPr>
          <w:rFonts w:ascii="Arial" w:eastAsia="MS Mincho" w:hAnsi="Arial" w:cs="Arial"/>
          <w:lang w:val="en-US" w:eastAsia="fr-FR"/>
        </w:rPr>
      </w:pPr>
      <w:r>
        <w:rPr>
          <w:rFonts w:ascii="Arial" w:eastAsia="MS Mincho" w:hAnsi="Arial" w:cs="Arial"/>
          <w:noProof/>
          <w:lang w:eastAsia="da-DK"/>
        </w:rPr>
        <w:lastRenderedPageBreak/>
        <w:drawing>
          <wp:inline distT="0" distB="0" distL="0" distR="0" wp14:anchorId="19298A6B" wp14:editId="69AFF2BA">
            <wp:extent cx="2836800" cy="2048400"/>
            <wp:effectExtent l="0" t="0" r="190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45_Global_SON_anomaly_BBDS.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6800" cy="2048400"/>
                    </a:xfrm>
                    <a:prstGeom prst="rect">
                      <a:avLst/>
                    </a:prstGeom>
                  </pic:spPr>
                </pic:pic>
              </a:graphicData>
            </a:graphic>
          </wp:inline>
        </w:drawing>
      </w:r>
      <w:r>
        <w:rPr>
          <w:rFonts w:ascii="Arial" w:eastAsia="MS Mincho" w:hAnsi="Arial" w:cs="Arial"/>
          <w:noProof/>
          <w:lang w:eastAsia="da-DK"/>
        </w:rPr>
        <w:drawing>
          <wp:inline distT="0" distB="0" distL="0" distR="0" wp14:anchorId="72E2F34C" wp14:editId="079C9CCE">
            <wp:extent cx="2890800" cy="2048400"/>
            <wp:effectExtent l="0" t="0" r="508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45_Global_DJF_anomaly_BBDS.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90800" cy="2048400"/>
                    </a:xfrm>
                    <a:prstGeom prst="rect">
                      <a:avLst/>
                    </a:prstGeom>
                  </pic:spPr>
                </pic:pic>
              </a:graphicData>
            </a:graphic>
          </wp:inline>
        </w:drawing>
      </w:r>
    </w:p>
    <w:p w:rsidR="000A7881" w:rsidRDefault="000A7881" w:rsidP="00771B1D">
      <w:pPr>
        <w:contextualSpacing/>
        <w:jc w:val="center"/>
        <w:rPr>
          <w:rFonts w:ascii="Arial" w:eastAsia="MS Mincho" w:hAnsi="Arial" w:cs="Arial"/>
          <w:lang w:val="en-US" w:eastAsia="fr-FR"/>
        </w:rPr>
      </w:pPr>
      <w:r>
        <w:rPr>
          <w:rFonts w:ascii="Arial" w:eastAsia="MS Mincho" w:hAnsi="Arial" w:cs="Arial"/>
          <w:noProof/>
          <w:lang w:eastAsia="da-DK"/>
        </w:rPr>
        <w:drawing>
          <wp:inline distT="0" distB="0" distL="0" distR="0" wp14:anchorId="1E38376C" wp14:editId="6DB2E0A1">
            <wp:extent cx="2851200" cy="2048400"/>
            <wp:effectExtent l="0" t="0" r="635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45_Global_MAM_anomaly_BBDS.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51200" cy="2048400"/>
                    </a:xfrm>
                    <a:prstGeom prst="rect">
                      <a:avLst/>
                    </a:prstGeom>
                  </pic:spPr>
                </pic:pic>
              </a:graphicData>
            </a:graphic>
          </wp:inline>
        </w:drawing>
      </w:r>
      <w:r>
        <w:rPr>
          <w:rFonts w:ascii="Arial" w:eastAsia="MS Mincho" w:hAnsi="Arial" w:cs="Arial"/>
          <w:noProof/>
          <w:lang w:eastAsia="da-DK"/>
        </w:rPr>
        <w:drawing>
          <wp:inline distT="0" distB="0" distL="0" distR="0" wp14:anchorId="02607BC0" wp14:editId="4A782095">
            <wp:extent cx="2880000" cy="2048400"/>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45_Global_JJA_anomaly_BBDS.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048400"/>
                    </a:xfrm>
                    <a:prstGeom prst="rect">
                      <a:avLst/>
                    </a:prstGeom>
                  </pic:spPr>
                </pic:pic>
              </a:graphicData>
            </a:graphic>
          </wp:inline>
        </w:drawing>
      </w:r>
    </w:p>
    <w:p w:rsidR="00771B1D" w:rsidRDefault="000A7881" w:rsidP="00224B56">
      <w:pPr>
        <w:jc w:val="both"/>
        <w:rPr>
          <w:lang w:val="nb-NO"/>
        </w:rPr>
      </w:pPr>
      <w:r w:rsidRPr="000A7881">
        <w:rPr>
          <w:lang w:val="nb-NO"/>
        </w:rPr>
        <w:t>Figure SM3.16: Same as Figure SM3.15 for RCP4.5 scenario. [Prepared by Robin Rong, EC/CCCma]</w:t>
      </w:r>
    </w:p>
    <w:p w:rsidR="00771B1D" w:rsidRDefault="00771B1D">
      <w:pPr>
        <w:rPr>
          <w:lang w:val="nb-NO"/>
        </w:rPr>
      </w:pPr>
      <w:r>
        <w:rPr>
          <w:lang w:val="nb-NO"/>
        </w:rPr>
        <w:br w:type="page"/>
      </w:r>
    </w:p>
    <w:p w:rsidR="000A7881" w:rsidRPr="00624B36" w:rsidRDefault="000A7881" w:rsidP="00EF62EE">
      <w:pPr>
        <w:contextualSpacing/>
        <w:jc w:val="center"/>
        <w:rPr>
          <w:rFonts w:ascii="Arial" w:eastAsia="MS Mincho" w:hAnsi="Arial" w:cs="Arial"/>
          <w:lang w:val="en-US" w:eastAsia="fr-FR"/>
        </w:rPr>
      </w:pPr>
      <w:r w:rsidRPr="00624B36">
        <w:rPr>
          <w:rFonts w:ascii="Arial" w:eastAsia="MS Mincho" w:hAnsi="Arial" w:cs="Arial"/>
          <w:noProof/>
          <w:lang w:eastAsia="da-DK"/>
        </w:rPr>
        <w:lastRenderedPageBreak/>
        <w:drawing>
          <wp:inline distT="0" distB="0" distL="0" distR="0" wp14:anchorId="49A7C6EF" wp14:editId="448793F1">
            <wp:extent cx="2952000" cy="2102400"/>
            <wp:effectExtent l="0" t="0" r="1270" b="0"/>
            <wp:docPr id="10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85_Global_SON_anomaly_BBDS.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52000" cy="2102400"/>
                    </a:xfrm>
                    <a:prstGeom prst="rect">
                      <a:avLst/>
                    </a:prstGeom>
                  </pic:spPr>
                </pic:pic>
              </a:graphicData>
            </a:graphic>
          </wp:inline>
        </w:drawing>
      </w:r>
      <w:r w:rsidRPr="00624B36">
        <w:rPr>
          <w:rFonts w:ascii="Arial" w:eastAsia="MS Mincho" w:hAnsi="Arial" w:cs="Arial"/>
          <w:noProof/>
          <w:lang w:eastAsia="da-DK"/>
        </w:rPr>
        <w:drawing>
          <wp:inline distT="0" distB="0" distL="0" distR="0" wp14:anchorId="52428234" wp14:editId="5C89E16D">
            <wp:extent cx="2952000" cy="2106000"/>
            <wp:effectExtent l="0" t="0" r="1270" b="8890"/>
            <wp:docPr id="10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85_Global_DJF_anomaly_BBDS.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52000" cy="2106000"/>
                    </a:xfrm>
                    <a:prstGeom prst="rect">
                      <a:avLst/>
                    </a:prstGeom>
                  </pic:spPr>
                </pic:pic>
              </a:graphicData>
            </a:graphic>
          </wp:inline>
        </w:drawing>
      </w:r>
    </w:p>
    <w:p w:rsidR="000A7881" w:rsidRPr="00624B36" w:rsidRDefault="000A7881" w:rsidP="00EF62EE">
      <w:pPr>
        <w:contextualSpacing/>
        <w:jc w:val="center"/>
        <w:rPr>
          <w:rFonts w:ascii="Arial" w:eastAsia="MS Mincho" w:hAnsi="Arial" w:cs="Arial"/>
          <w:lang w:val="en-US" w:eastAsia="fr-FR"/>
        </w:rPr>
      </w:pPr>
      <w:r w:rsidRPr="00624B36">
        <w:rPr>
          <w:rFonts w:ascii="Arial" w:eastAsia="MS Mincho" w:hAnsi="Arial" w:cs="Arial"/>
          <w:noProof/>
          <w:lang w:eastAsia="da-DK"/>
        </w:rPr>
        <w:drawing>
          <wp:inline distT="0" distB="0" distL="0" distR="0" wp14:anchorId="3099F8F3" wp14:editId="1DF060C4">
            <wp:extent cx="2952000" cy="2070000"/>
            <wp:effectExtent l="0" t="0" r="1270" b="6985"/>
            <wp:docPr id="10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85_Global_MAM_anomaly_BBDS.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52000" cy="2070000"/>
                    </a:xfrm>
                    <a:prstGeom prst="rect">
                      <a:avLst/>
                    </a:prstGeom>
                  </pic:spPr>
                </pic:pic>
              </a:graphicData>
            </a:graphic>
          </wp:inline>
        </w:drawing>
      </w:r>
      <w:r w:rsidRPr="00624B36">
        <w:rPr>
          <w:rFonts w:ascii="Arial" w:eastAsia="MS Mincho" w:hAnsi="Arial" w:cs="Arial"/>
          <w:noProof/>
          <w:lang w:eastAsia="da-DK"/>
        </w:rPr>
        <w:drawing>
          <wp:inline distT="0" distB="0" distL="0" distR="0" wp14:anchorId="50FEABA6" wp14:editId="550BE4C2">
            <wp:extent cx="2952000" cy="2066400"/>
            <wp:effectExtent l="0" t="0" r="1270" b="0"/>
            <wp:docPr id="10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c_OImon_rcp85_Global_JJA_anomaly_BBDS.tif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52000" cy="2066400"/>
                    </a:xfrm>
                    <a:prstGeom prst="rect">
                      <a:avLst/>
                    </a:prstGeom>
                  </pic:spPr>
                </pic:pic>
              </a:graphicData>
            </a:graphic>
          </wp:inline>
        </w:drawing>
      </w:r>
    </w:p>
    <w:p w:rsidR="00EF62EE" w:rsidRDefault="000A7881" w:rsidP="00224B56">
      <w:pPr>
        <w:jc w:val="both"/>
        <w:rPr>
          <w:lang w:val="nb-NO"/>
        </w:rPr>
      </w:pPr>
      <w:r w:rsidRPr="000A7881">
        <w:rPr>
          <w:lang w:val="nb-NO"/>
        </w:rPr>
        <w:t>Figure SM3.17: Same as Figure SM3.15 for RCP8.5 scenario. [Prepared by Robin Rong, EC/CCCma]</w:t>
      </w:r>
    </w:p>
    <w:p w:rsidR="00EF62EE" w:rsidRDefault="00EF62EE">
      <w:pPr>
        <w:rPr>
          <w:lang w:val="nb-NO"/>
        </w:rPr>
      </w:pPr>
      <w:r>
        <w:rPr>
          <w:lang w:val="nb-NO"/>
        </w:rPr>
        <w:br w:type="page"/>
      </w:r>
    </w:p>
    <w:p w:rsidR="000A7881" w:rsidRDefault="000A7881" w:rsidP="00EF62EE">
      <w:pPr>
        <w:contextualSpacing/>
        <w:jc w:val="center"/>
        <w:rPr>
          <w:rFonts w:ascii="Arial" w:eastAsia="MS Mincho" w:hAnsi="Arial" w:cs="Arial"/>
          <w:color w:val="FF0000"/>
          <w:lang w:val="en-US" w:eastAsia="fr-FR"/>
        </w:rPr>
      </w:pPr>
      <w:r>
        <w:rPr>
          <w:rFonts w:ascii="Arial" w:eastAsia="MS Mincho" w:hAnsi="Arial" w:cs="Arial"/>
          <w:noProof/>
          <w:color w:val="FF0000"/>
          <w:lang w:eastAsia="da-DK"/>
        </w:rPr>
        <w:lastRenderedPageBreak/>
        <w:drawing>
          <wp:inline distT="0" distB="0" distL="0" distR="0" wp14:anchorId="1806B6DE" wp14:editId="54A22389">
            <wp:extent cx="2984400" cy="2070000"/>
            <wp:effectExtent l="0" t="0" r="698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26_Global_SON_anomaly_BBDS.tif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84400" cy="2070000"/>
                    </a:xfrm>
                    <a:prstGeom prst="rect">
                      <a:avLst/>
                    </a:prstGeom>
                  </pic:spPr>
                </pic:pic>
              </a:graphicData>
            </a:graphic>
          </wp:inline>
        </w:drawing>
      </w:r>
      <w:r>
        <w:rPr>
          <w:rFonts w:ascii="Arial" w:eastAsia="MS Mincho" w:hAnsi="Arial" w:cs="Arial"/>
          <w:noProof/>
          <w:color w:val="FF0000"/>
          <w:lang w:eastAsia="da-DK"/>
        </w:rPr>
        <w:drawing>
          <wp:inline distT="0" distB="0" distL="0" distR="0" wp14:anchorId="6B3A2425" wp14:editId="3089966E">
            <wp:extent cx="3006000" cy="2070000"/>
            <wp:effectExtent l="0" t="0" r="444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26_Global_DJF_anomaly_BBDS.tif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06000" cy="2070000"/>
                    </a:xfrm>
                    <a:prstGeom prst="rect">
                      <a:avLst/>
                    </a:prstGeom>
                  </pic:spPr>
                </pic:pic>
              </a:graphicData>
            </a:graphic>
          </wp:inline>
        </w:drawing>
      </w:r>
    </w:p>
    <w:p w:rsidR="000A7881" w:rsidRDefault="000A7881" w:rsidP="00EF62EE">
      <w:pPr>
        <w:contextualSpacing/>
        <w:jc w:val="center"/>
        <w:rPr>
          <w:rFonts w:ascii="Arial" w:eastAsia="MS Mincho" w:hAnsi="Arial" w:cs="Arial"/>
          <w:color w:val="FF0000"/>
          <w:lang w:val="en-US" w:eastAsia="fr-FR"/>
        </w:rPr>
      </w:pPr>
      <w:r>
        <w:rPr>
          <w:rFonts w:ascii="Arial" w:eastAsia="MS Mincho" w:hAnsi="Arial" w:cs="Arial"/>
          <w:noProof/>
          <w:color w:val="FF0000"/>
          <w:lang w:eastAsia="da-DK"/>
        </w:rPr>
        <w:drawing>
          <wp:inline distT="0" distB="0" distL="0" distR="0" wp14:anchorId="05E0DF1A" wp14:editId="1EDBAAC2">
            <wp:extent cx="2952000" cy="2070000"/>
            <wp:effectExtent l="0" t="0" r="127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26_Global_MAM_anomaly_BBDS.tif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52000" cy="2070000"/>
                    </a:xfrm>
                    <a:prstGeom prst="rect">
                      <a:avLst/>
                    </a:prstGeom>
                  </pic:spPr>
                </pic:pic>
              </a:graphicData>
            </a:graphic>
          </wp:inline>
        </w:drawing>
      </w:r>
      <w:r>
        <w:rPr>
          <w:rFonts w:ascii="Arial" w:eastAsia="MS Mincho" w:hAnsi="Arial" w:cs="Arial"/>
          <w:noProof/>
          <w:color w:val="FF0000"/>
          <w:lang w:eastAsia="da-DK"/>
        </w:rPr>
        <w:drawing>
          <wp:inline distT="0" distB="0" distL="0" distR="0" wp14:anchorId="6C32A4CC" wp14:editId="6DE91B85">
            <wp:extent cx="2887200" cy="2070000"/>
            <wp:effectExtent l="0" t="0" r="889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26_Global_JJA_anomaly_BBDS.tif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7200" cy="2070000"/>
                    </a:xfrm>
                    <a:prstGeom prst="rect">
                      <a:avLst/>
                    </a:prstGeom>
                  </pic:spPr>
                </pic:pic>
              </a:graphicData>
            </a:graphic>
          </wp:inline>
        </w:drawing>
      </w:r>
    </w:p>
    <w:p w:rsidR="00EF62EE" w:rsidRDefault="000A7881" w:rsidP="00224B56">
      <w:pPr>
        <w:jc w:val="both"/>
        <w:rPr>
          <w:lang w:val="nb-NO"/>
        </w:rPr>
      </w:pPr>
      <w:r w:rsidRPr="000A7881">
        <w:rPr>
          <w:lang w:val="nb-NO"/>
        </w:rPr>
        <w:t>Figure SM3.18: 29 member CMIP5 multi-model projected change in sea-ice thickness (change in m relative to 1986-2005 average) for RCP2.6 scenario. Results are shown for four seasons and three periods in the future: 2016-2035 (labelled 2020s), 2046-2065 (labelled 2050s) and 2081-2100 (labelled 2080s), and illustrate the 25th, 50th and 75th percentile changes projected by the 29 CMIP5 models used (see BCB report for listing of models). [Prepared by Robin Rong, EC/CCCma]</w:t>
      </w:r>
    </w:p>
    <w:p w:rsidR="00EF62EE" w:rsidRDefault="00EF62EE">
      <w:pPr>
        <w:rPr>
          <w:lang w:val="nb-NO"/>
        </w:rPr>
      </w:pPr>
      <w:r>
        <w:rPr>
          <w:lang w:val="nb-NO"/>
        </w:rPr>
        <w:br w:type="page"/>
      </w:r>
    </w:p>
    <w:p w:rsidR="000A7881" w:rsidRDefault="000A7881" w:rsidP="00EF62EE">
      <w:pPr>
        <w:contextualSpacing/>
        <w:jc w:val="center"/>
        <w:rPr>
          <w:rFonts w:ascii="Arial" w:eastAsia="MS Mincho" w:hAnsi="Arial" w:cs="Arial"/>
          <w:color w:val="FF0000"/>
          <w:lang w:val="en-US" w:eastAsia="fr-FR"/>
        </w:rPr>
      </w:pPr>
      <w:r>
        <w:rPr>
          <w:rFonts w:ascii="Arial" w:eastAsia="MS Mincho" w:hAnsi="Arial" w:cs="Arial"/>
          <w:noProof/>
          <w:color w:val="FF0000"/>
          <w:lang w:eastAsia="da-DK"/>
        </w:rPr>
        <w:lastRenderedPageBreak/>
        <w:drawing>
          <wp:inline distT="0" distB="0" distL="0" distR="0" wp14:anchorId="7C05C743" wp14:editId="04BA5C5D">
            <wp:extent cx="2869200" cy="2048400"/>
            <wp:effectExtent l="0" t="0" r="762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45_Global_SON_anomaly_BBDS.ti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69200" cy="2048400"/>
                    </a:xfrm>
                    <a:prstGeom prst="rect">
                      <a:avLst/>
                    </a:prstGeom>
                  </pic:spPr>
                </pic:pic>
              </a:graphicData>
            </a:graphic>
          </wp:inline>
        </w:drawing>
      </w:r>
      <w:r>
        <w:rPr>
          <w:rFonts w:ascii="Arial" w:eastAsia="MS Mincho" w:hAnsi="Arial" w:cs="Arial"/>
          <w:noProof/>
          <w:color w:val="FF0000"/>
          <w:lang w:eastAsia="da-DK"/>
        </w:rPr>
        <w:drawing>
          <wp:inline distT="0" distB="0" distL="0" distR="0" wp14:anchorId="7C761B65" wp14:editId="5A05FA0F">
            <wp:extent cx="2869200" cy="2048400"/>
            <wp:effectExtent l="0" t="0" r="762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45_Global_DJF_anomaly_BBDS.t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69200" cy="2048400"/>
                    </a:xfrm>
                    <a:prstGeom prst="rect">
                      <a:avLst/>
                    </a:prstGeom>
                  </pic:spPr>
                </pic:pic>
              </a:graphicData>
            </a:graphic>
          </wp:inline>
        </w:drawing>
      </w:r>
    </w:p>
    <w:p w:rsidR="000A7881" w:rsidRDefault="000A7881" w:rsidP="00EF62EE">
      <w:pPr>
        <w:jc w:val="center"/>
        <w:rPr>
          <w:lang w:val="nb-NO"/>
        </w:rPr>
      </w:pPr>
      <w:r>
        <w:rPr>
          <w:rFonts w:ascii="Arial" w:eastAsia="MS Mincho" w:hAnsi="Arial" w:cs="Arial"/>
          <w:noProof/>
          <w:color w:val="FF0000"/>
          <w:lang w:eastAsia="da-DK"/>
        </w:rPr>
        <w:drawing>
          <wp:inline distT="0" distB="0" distL="0" distR="0" wp14:anchorId="011EB21E" wp14:editId="11A3CA18">
            <wp:extent cx="2941200" cy="2048400"/>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45_Global_MAM_anomaly_BBDS.ti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41200" cy="2048400"/>
                    </a:xfrm>
                    <a:prstGeom prst="rect">
                      <a:avLst/>
                    </a:prstGeom>
                  </pic:spPr>
                </pic:pic>
              </a:graphicData>
            </a:graphic>
          </wp:inline>
        </w:drawing>
      </w:r>
      <w:r>
        <w:rPr>
          <w:rFonts w:ascii="Arial" w:eastAsia="MS Mincho" w:hAnsi="Arial" w:cs="Arial"/>
          <w:noProof/>
          <w:color w:val="FF0000"/>
          <w:lang w:eastAsia="da-DK"/>
        </w:rPr>
        <w:drawing>
          <wp:inline distT="0" distB="0" distL="0" distR="0" wp14:anchorId="538CC01A" wp14:editId="59B2926D">
            <wp:extent cx="2890800" cy="2048400"/>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45_Global_JJA_anomaly_BBDS.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90800" cy="2048400"/>
                    </a:xfrm>
                    <a:prstGeom prst="rect">
                      <a:avLst/>
                    </a:prstGeom>
                  </pic:spPr>
                </pic:pic>
              </a:graphicData>
            </a:graphic>
          </wp:inline>
        </w:drawing>
      </w:r>
    </w:p>
    <w:p w:rsidR="00EF62EE" w:rsidRDefault="00224B56" w:rsidP="00224B56">
      <w:pPr>
        <w:jc w:val="both"/>
        <w:rPr>
          <w:lang w:val="nb-NO"/>
        </w:rPr>
      </w:pPr>
      <w:r w:rsidRPr="00224B56">
        <w:rPr>
          <w:lang w:val="nb-NO"/>
        </w:rPr>
        <w:t>Figure SM3.19: same as Figure SM3.18 for RCP4.5 scenario. [Prepared by Robin Rong, EC/CCCma]</w:t>
      </w:r>
    </w:p>
    <w:p w:rsidR="00EF62EE" w:rsidRDefault="00EF62EE">
      <w:pPr>
        <w:rPr>
          <w:lang w:val="nb-NO"/>
        </w:rPr>
      </w:pPr>
      <w:r>
        <w:rPr>
          <w:lang w:val="nb-NO"/>
        </w:rPr>
        <w:br w:type="page"/>
      </w:r>
    </w:p>
    <w:p w:rsidR="00224B56" w:rsidRDefault="00224B56" w:rsidP="00EF62EE">
      <w:pPr>
        <w:tabs>
          <w:tab w:val="left" w:pos="851"/>
        </w:tabs>
        <w:contextualSpacing/>
        <w:jc w:val="center"/>
        <w:rPr>
          <w:rFonts w:ascii="Arial" w:eastAsia="MS Mincho" w:hAnsi="Arial" w:cs="Arial"/>
          <w:lang w:val="en-US" w:eastAsia="fr-FR"/>
        </w:rPr>
      </w:pPr>
      <w:r>
        <w:rPr>
          <w:rFonts w:ascii="Arial" w:eastAsia="MS Mincho" w:hAnsi="Arial" w:cs="Arial"/>
          <w:noProof/>
          <w:lang w:eastAsia="da-DK"/>
        </w:rPr>
        <w:lastRenderedPageBreak/>
        <w:drawing>
          <wp:inline distT="0" distB="0" distL="0" distR="0" wp14:anchorId="74B18ECF" wp14:editId="5AC08885">
            <wp:extent cx="2872800" cy="2070000"/>
            <wp:effectExtent l="0" t="0" r="381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85_Global_SON_anomaly_BBDS.tiff"/>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2800" cy="2070000"/>
                    </a:xfrm>
                    <a:prstGeom prst="rect">
                      <a:avLst/>
                    </a:prstGeom>
                  </pic:spPr>
                </pic:pic>
              </a:graphicData>
            </a:graphic>
          </wp:inline>
        </w:drawing>
      </w:r>
      <w:r>
        <w:rPr>
          <w:rFonts w:ascii="Arial" w:eastAsia="MS Mincho" w:hAnsi="Arial" w:cs="Arial"/>
          <w:noProof/>
          <w:lang w:eastAsia="da-DK"/>
        </w:rPr>
        <w:drawing>
          <wp:inline distT="0" distB="0" distL="0" distR="0" wp14:anchorId="274230C2" wp14:editId="31553F2B">
            <wp:extent cx="2916000" cy="2070000"/>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85_Global_DJF_anomaly_BBDS.tiff"/>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16000" cy="2070000"/>
                    </a:xfrm>
                    <a:prstGeom prst="rect">
                      <a:avLst/>
                    </a:prstGeom>
                  </pic:spPr>
                </pic:pic>
              </a:graphicData>
            </a:graphic>
          </wp:inline>
        </w:drawing>
      </w:r>
    </w:p>
    <w:p w:rsidR="00224B56" w:rsidRDefault="00224B56" w:rsidP="00EF62EE">
      <w:pPr>
        <w:jc w:val="center"/>
        <w:rPr>
          <w:lang w:val="nb-NO"/>
        </w:rPr>
      </w:pPr>
      <w:r>
        <w:rPr>
          <w:rFonts w:ascii="Arial" w:eastAsia="MS Mincho" w:hAnsi="Arial" w:cs="Arial"/>
          <w:noProof/>
          <w:lang w:eastAsia="da-DK"/>
        </w:rPr>
        <w:drawing>
          <wp:inline distT="0" distB="0" distL="0" distR="0" wp14:anchorId="4F1399DE" wp14:editId="3E02AF4B">
            <wp:extent cx="2912400" cy="2070000"/>
            <wp:effectExtent l="0" t="0" r="254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85_Global_MAM_anomaly_BBDS.tif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12400" cy="2070000"/>
                    </a:xfrm>
                    <a:prstGeom prst="rect">
                      <a:avLst/>
                    </a:prstGeom>
                  </pic:spPr>
                </pic:pic>
              </a:graphicData>
            </a:graphic>
          </wp:inline>
        </w:drawing>
      </w:r>
      <w:r>
        <w:rPr>
          <w:rFonts w:ascii="Arial" w:eastAsia="MS Mincho" w:hAnsi="Arial" w:cs="Arial"/>
          <w:noProof/>
          <w:lang w:eastAsia="da-DK"/>
        </w:rPr>
        <w:drawing>
          <wp:inline distT="0" distB="0" distL="0" distR="0" wp14:anchorId="080B9B54" wp14:editId="40529924">
            <wp:extent cx="2948400" cy="2070000"/>
            <wp:effectExtent l="0" t="0" r="444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_OImon_rcp85_Global_JJA_anomaly_BBDS.tiff"/>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48400" cy="2070000"/>
                    </a:xfrm>
                    <a:prstGeom prst="rect">
                      <a:avLst/>
                    </a:prstGeom>
                  </pic:spPr>
                </pic:pic>
              </a:graphicData>
            </a:graphic>
          </wp:inline>
        </w:drawing>
      </w:r>
    </w:p>
    <w:p w:rsidR="00EF62EE" w:rsidRDefault="00224B56" w:rsidP="00224B56">
      <w:pPr>
        <w:tabs>
          <w:tab w:val="left" w:pos="851"/>
        </w:tabs>
        <w:contextualSpacing/>
        <w:jc w:val="both"/>
        <w:rPr>
          <w:lang w:val="en-US"/>
        </w:rPr>
      </w:pPr>
      <w:r w:rsidRPr="00224B56">
        <w:rPr>
          <w:lang w:val="en-US"/>
        </w:rPr>
        <w:t xml:space="preserve">Figure SM3.20: same as Figure SM3.18 for RCP8.5 scenario. [Prepared by Robin </w:t>
      </w:r>
      <w:proofErr w:type="spellStart"/>
      <w:r w:rsidRPr="00224B56">
        <w:rPr>
          <w:lang w:val="en-US"/>
        </w:rPr>
        <w:t>Rong</w:t>
      </w:r>
      <w:proofErr w:type="spellEnd"/>
      <w:r w:rsidRPr="00224B56">
        <w:rPr>
          <w:lang w:val="en-US"/>
        </w:rPr>
        <w:t>, EC/</w:t>
      </w:r>
      <w:proofErr w:type="spellStart"/>
      <w:r w:rsidRPr="00224B56">
        <w:rPr>
          <w:lang w:val="en-US"/>
        </w:rPr>
        <w:t>CCCma</w:t>
      </w:r>
      <w:proofErr w:type="spellEnd"/>
      <w:r w:rsidRPr="00224B56">
        <w:rPr>
          <w:lang w:val="en-US"/>
        </w:rPr>
        <w:t>]</w:t>
      </w:r>
    </w:p>
    <w:p w:rsidR="00EF62EE" w:rsidRDefault="00EF62EE">
      <w:pPr>
        <w:rPr>
          <w:lang w:val="en-US"/>
        </w:rPr>
      </w:pPr>
      <w:r>
        <w:rPr>
          <w:lang w:val="en-US"/>
        </w:rPr>
        <w:br w:type="page"/>
      </w:r>
    </w:p>
    <w:p w:rsidR="00224B56" w:rsidRPr="009E6A51" w:rsidRDefault="00224B56" w:rsidP="00224B56">
      <w:pPr>
        <w:jc w:val="both"/>
        <w:rPr>
          <w:b/>
          <w:sz w:val="24"/>
          <w:szCs w:val="24"/>
          <w:lang w:val="en-US"/>
        </w:rPr>
      </w:pPr>
      <w:r w:rsidRPr="009E6A51">
        <w:rPr>
          <w:b/>
          <w:sz w:val="24"/>
          <w:szCs w:val="24"/>
          <w:lang w:val="en-US"/>
        </w:rPr>
        <w:lastRenderedPageBreak/>
        <w:t>References</w:t>
      </w:r>
    </w:p>
    <w:p w:rsidR="00224B56" w:rsidRPr="00224B56" w:rsidRDefault="00224B56" w:rsidP="00224B56">
      <w:pPr>
        <w:jc w:val="both"/>
        <w:rPr>
          <w:lang w:val="en-US"/>
        </w:rPr>
      </w:pPr>
      <w:r w:rsidRPr="00224B56">
        <w:rPr>
          <w:lang w:val="en-US"/>
        </w:rPr>
        <w:t xml:space="preserve">Barnes, E.A. and </w:t>
      </w:r>
      <w:proofErr w:type="spellStart"/>
      <w:r w:rsidRPr="00224B56">
        <w:rPr>
          <w:lang w:val="en-US"/>
        </w:rPr>
        <w:t>Polvani</w:t>
      </w:r>
      <w:proofErr w:type="spellEnd"/>
      <w:r w:rsidRPr="00224B56">
        <w:rPr>
          <w:lang w:val="en-US"/>
        </w:rPr>
        <w:t>, L.M., 2015: CMIP5 Projections of Arctic Amplification, of the North American/North Atlantic Circulation, and of Their Relationsh</w:t>
      </w:r>
      <w:r>
        <w:rPr>
          <w:lang w:val="en-US"/>
        </w:rPr>
        <w:t xml:space="preserve">ip. J. Climate, 28, 5254–5271. </w:t>
      </w:r>
    </w:p>
    <w:p w:rsidR="00224B56" w:rsidRPr="00224B56" w:rsidRDefault="00224B56" w:rsidP="00224B56">
      <w:pPr>
        <w:jc w:val="both"/>
        <w:rPr>
          <w:lang w:val="en-US"/>
        </w:rPr>
      </w:pPr>
      <w:proofErr w:type="spellStart"/>
      <w:r w:rsidRPr="00224B56">
        <w:rPr>
          <w:lang w:val="en-US"/>
        </w:rPr>
        <w:t>Bengtsson</w:t>
      </w:r>
      <w:proofErr w:type="spellEnd"/>
      <w:r w:rsidRPr="00224B56">
        <w:rPr>
          <w:lang w:val="en-US"/>
        </w:rPr>
        <w:t xml:space="preserve">, L., Hodges, K.I., </w:t>
      </w:r>
      <w:proofErr w:type="spellStart"/>
      <w:r w:rsidRPr="00224B56">
        <w:rPr>
          <w:lang w:val="en-US"/>
        </w:rPr>
        <w:t>Koumoutsaris</w:t>
      </w:r>
      <w:proofErr w:type="spellEnd"/>
      <w:r w:rsidRPr="00224B56">
        <w:rPr>
          <w:lang w:val="en-US"/>
        </w:rPr>
        <w:t xml:space="preserve">, S., Zahn, M., and </w:t>
      </w:r>
      <w:proofErr w:type="spellStart"/>
      <w:r w:rsidRPr="00224B56">
        <w:rPr>
          <w:lang w:val="en-US"/>
        </w:rPr>
        <w:t>Keenlyside</w:t>
      </w:r>
      <w:proofErr w:type="spellEnd"/>
      <w:r w:rsidRPr="00224B56">
        <w:rPr>
          <w:lang w:val="en-US"/>
        </w:rPr>
        <w:t>, N., 2011: The changing atmospheric water cycle in Polar Regions in a warmer c</w:t>
      </w:r>
      <w:r>
        <w:rPr>
          <w:lang w:val="en-US"/>
        </w:rPr>
        <w:t xml:space="preserve">limate. </w:t>
      </w:r>
      <w:proofErr w:type="spellStart"/>
      <w:r>
        <w:rPr>
          <w:lang w:val="en-US"/>
        </w:rPr>
        <w:t>Tellus</w:t>
      </w:r>
      <w:proofErr w:type="spellEnd"/>
      <w:r>
        <w:rPr>
          <w:lang w:val="en-US"/>
        </w:rPr>
        <w:t xml:space="preserve"> A, 63A, 907-920.</w:t>
      </w:r>
    </w:p>
    <w:p w:rsidR="00224B56" w:rsidRPr="00224B56" w:rsidRDefault="00224B56" w:rsidP="00224B56">
      <w:pPr>
        <w:jc w:val="both"/>
        <w:rPr>
          <w:lang w:val="en-US"/>
        </w:rPr>
      </w:pPr>
      <w:proofErr w:type="spellStart"/>
      <w:r w:rsidRPr="00224B56">
        <w:rPr>
          <w:lang w:val="en-US"/>
        </w:rPr>
        <w:t>Bintanja</w:t>
      </w:r>
      <w:proofErr w:type="spellEnd"/>
      <w:r w:rsidRPr="00224B56">
        <w:rPr>
          <w:lang w:val="en-US"/>
        </w:rPr>
        <w:t xml:space="preserve">, R., and </w:t>
      </w:r>
      <w:proofErr w:type="spellStart"/>
      <w:r w:rsidRPr="00224B56">
        <w:rPr>
          <w:lang w:val="en-US"/>
        </w:rPr>
        <w:t>Selten</w:t>
      </w:r>
      <w:proofErr w:type="spellEnd"/>
      <w:r w:rsidRPr="00224B56">
        <w:rPr>
          <w:lang w:val="en-US"/>
        </w:rPr>
        <w:t>, F.M., 2014: Future increases in Arctic precipitation linked to local evaporation and sea-ice retreat. Nature, Vol. 509, 479-482, doi</w:t>
      </w:r>
      <w:proofErr w:type="gramStart"/>
      <w:r w:rsidRPr="00224B56">
        <w:rPr>
          <w:lang w:val="en-US"/>
        </w:rPr>
        <w:t>:10.1038</w:t>
      </w:r>
      <w:proofErr w:type="gramEnd"/>
      <w:r w:rsidRPr="00224B56">
        <w:rPr>
          <w:lang w:val="en-US"/>
        </w:rPr>
        <w:t>/nature1</w:t>
      </w:r>
      <w:r>
        <w:rPr>
          <w:lang w:val="en-US"/>
        </w:rPr>
        <w:t>3259.</w:t>
      </w:r>
    </w:p>
    <w:p w:rsidR="00224B56" w:rsidRPr="00224B56" w:rsidRDefault="00224B56" w:rsidP="00224B56">
      <w:pPr>
        <w:jc w:val="both"/>
        <w:rPr>
          <w:lang w:val="en-US"/>
        </w:rPr>
      </w:pPr>
      <w:r w:rsidRPr="00224B56">
        <w:rPr>
          <w:lang w:val="en-US"/>
        </w:rPr>
        <w:t xml:space="preserve">Bracegirdle, T.J., and Stephenson, D.B., 2013: On the Robustness of Emergent Constraints Used in </w:t>
      </w:r>
      <w:proofErr w:type="spellStart"/>
      <w:r w:rsidRPr="00224B56">
        <w:rPr>
          <w:lang w:val="en-US"/>
        </w:rPr>
        <w:t>Multimodel</w:t>
      </w:r>
      <w:proofErr w:type="spellEnd"/>
      <w:r w:rsidRPr="00224B56">
        <w:rPr>
          <w:lang w:val="en-US"/>
        </w:rPr>
        <w:t xml:space="preserve"> Climate Change Projections of Arctic War</w:t>
      </w:r>
      <w:r>
        <w:rPr>
          <w:lang w:val="en-US"/>
        </w:rPr>
        <w:t xml:space="preserve">ming. J. Climate, 26, 669–678. </w:t>
      </w:r>
    </w:p>
    <w:p w:rsidR="00224B56" w:rsidRPr="00224B56" w:rsidRDefault="00224B56" w:rsidP="00224B56">
      <w:pPr>
        <w:jc w:val="both"/>
        <w:rPr>
          <w:lang w:val="en-US"/>
        </w:rPr>
      </w:pPr>
      <w:r w:rsidRPr="00224B56">
        <w:rPr>
          <w:lang w:val="en-US"/>
        </w:rPr>
        <w:t xml:space="preserve">Brown, R.D. and R.O. </w:t>
      </w:r>
      <w:proofErr w:type="spellStart"/>
      <w:r w:rsidRPr="00224B56">
        <w:rPr>
          <w:lang w:val="en-US"/>
        </w:rPr>
        <w:t>Braaten</w:t>
      </w:r>
      <w:proofErr w:type="spellEnd"/>
      <w:r w:rsidRPr="00224B56">
        <w:rPr>
          <w:lang w:val="en-US"/>
        </w:rPr>
        <w:t>, 1998: Spatial and temporal variability of Canadian monthly snow depths, 1946-1995</w:t>
      </w:r>
      <w:r>
        <w:rPr>
          <w:lang w:val="en-US"/>
        </w:rPr>
        <w:t>.  Atmosphere-Ocean, 36: 37-45.</w:t>
      </w:r>
    </w:p>
    <w:p w:rsidR="00224B56" w:rsidRPr="00224B56" w:rsidRDefault="00224B56" w:rsidP="00224B56">
      <w:pPr>
        <w:jc w:val="both"/>
        <w:rPr>
          <w:lang w:val="en-US"/>
        </w:rPr>
      </w:pPr>
      <w:r w:rsidRPr="00224B56">
        <w:rPr>
          <w:lang w:val="en-US"/>
        </w:rPr>
        <w:t xml:space="preserve">Brown, R. And coauthors, 2016: Climate variability, trends and projected change for the Eastern Canadian Arctic. </w:t>
      </w:r>
      <w:proofErr w:type="gramStart"/>
      <w:r w:rsidRPr="00224B56">
        <w:rPr>
          <w:lang w:val="en-US"/>
        </w:rPr>
        <w:t xml:space="preserve">Chapter xx in </w:t>
      </w:r>
      <w:proofErr w:type="spellStart"/>
      <w:r w:rsidRPr="00224B56">
        <w:rPr>
          <w:lang w:val="en-US"/>
        </w:rPr>
        <w:t>ArcticNet</w:t>
      </w:r>
      <w:proofErr w:type="spellEnd"/>
      <w:r w:rsidRPr="00224B56">
        <w:rPr>
          <w:lang w:val="en-US"/>
        </w:rPr>
        <w:t xml:space="preserve"> IRIS-2 report (in press.)</w:t>
      </w:r>
      <w:proofErr w:type="gramEnd"/>
    </w:p>
    <w:p w:rsidR="00224B56" w:rsidRPr="00224B56" w:rsidRDefault="00224B56" w:rsidP="00224B56">
      <w:pPr>
        <w:jc w:val="both"/>
        <w:rPr>
          <w:lang w:val="en-US"/>
        </w:rPr>
      </w:pPr>
      <w:r w:rsidRPr="00224B56">
        <w:rPr>
          <w:lang w:val="en-US"/>
        </w:rPr>
        <w:t>Brown, R. and coauthors, 2017: SWIPA update, Arctic Ter</w:t>
      </w:r>
      <w:r>
        <w:rPr>
          <w:lang w:val="en-US"/>
        </w:rPr>
        <w:t>restrial Snow Cover (in press.)</w:t>
      </w:r>
    </w:p>
    <w:p w:rsidR="00224B56" w:rsidRPr="00224B56" w:rsidRDefault="00224B56" w:rsidP="00224B56">
      <w:pPr>
        <w:jc w:val="both"/>
        <w:rPr>
          <w:lang w:val="en-US"/>
        </w:rPr>
      </w:pPr>
      <w:r w:rsidRPr="00224B56">
        <w:rPr>
          <w:lang w:val="en-US"/>
        </w:rPr>
        <w:t xml:space="preserve">Curry, J.A., Schramm, J.L., </w:t>
      </w:r>
      <w:proofErr w:type="spellStart"/>
      <w:r w:rsidRPr="00224B56">
        <w:rPr>
          <w:lang w:val="en-US"/>
        </w:rPr>
        <w:t>Rossow</w:t>
      </w:r>
      <w:proofErr w:type="spellEnd"/>
      <w:r w:rsidRPr="00224B56">
        <w:rPr>
          <w:lang w:val="en-US"/>
        </w:rPr>
        <w:t>, W.B., and Randall, D., 1996: Overview of Arctic Cloud and Radiation Characterist</w:t>
      </w:r>
      <w:r>
        <w:rPr>
          <w:lang w:val="en-US"/>
        </w:rPr>
        <w:t xml:space="preserve">ics. J. Climate, 9, 1731–1764. </w:t>
      </w:r>
    </w:p>
    <w:p w:rsidR="00224B56" w:rsidRPr="00224B56" w:rsidRDefault="00224B56" w:rsidP="00224B56">
      <w:pPr>
        <w:jc w:val="both"/>
        <w:rPr>
          <w:lang w:val="en-US"/>
        </w:rPr>
      </w:pPr>
      <w:r w:rsidRPr="00224B56">
        <w:rPr>
          <w:lang w:val="en-US"/>
        </w:rPr>
        <w:t xml:space="preserve">Davies, F.J., </w:t>
      </w:r>
      <w:proofErr w:type="spellStart"/>
      <w:r w:rsidRPr="00224B56">
        <w:rPr>
          <w:lang w:val="en-US"/>
        </w:rPr>
        <w:t>Renssen</w:t>
      </w:r>
      <w:proofErr w:type="spellEnd"/>
      <w:r w:rsidRPr="00224B56">
        <w:rPr>
          <w:lang w:val="en-US"/>
        </w:rPr>
        <w:t xml:space="preserve">, H., and </w:t>
      </w:r>
      <w:proofErr w:type="spellStart"/>
      <w:r w:rsidRPr="00224B56">
        <w:rPr>
          <w:lang w:val="en-US"/>
        </w:rPr>
        <w:t>Goosse</w:t>
      </w:r>
      <w:proofErr w:type="spellEnd"/>
      <w:r w:rsidRPr="00224B56">
        <w:rPr>
          <w:lang w:val="en-US"/>
        </w:rPr>
        <w:t xml:space="preserve">, H., 2014: The Arctic freshwater cycle during a naturally and an </w:t>
      </w:r>
      <w:proofErr w:type="spellStart"/>
      <w:r w:rsidRPr="00224B56">
        <w:rPr>
          <w:lang w:val="en-US"/>
        </w:rPr>
        <w:t>anthropogenically</w:t>
      </w:r>
      <w:proofErr w:type="spellEnd"/>
      <w:r w:rsidRPr="00224B56">
        <w:rPr>
          <w:lang w:val="en-US"/>
        </w:rPr>
        <w:t xml:space="preserve"> induced warm climate. </w:t>
      </w:r>
      <w:proofErr w:type="spellStart"/>
      <w:r w:rsidRPr="00224B56">
        <w:rPr>
          <w:lang w:val="en-US"/>
        </w:rPr>
        <w:t>Clim</w:t>
      </w:r>
      <w:proofErr w:type="spellEnd"/>
      <w:r w:rsidRPr="00224B56">
        <w:rPr>
          <w:lang w:val="en-US"/>
        </w:rPr>
        <w:t xml:space="preserve">. </w:t>
      </w:r>
      <w:proofErr w:type="spellStart"/>
      <w:r w:rsidRPr="00224B56">
        <w:rPr>
          <w:lang w:val="en-US"/>
        </w:rPr>
        <w:t>Dyn</w:t>
      </w:r>
      <w:proofErr w:type="spellEnd"/>
      <w:r w:rsidRPr="00224B56">
        <w:rPr>
          <w:lang w:val="en-US"/>
        </w:rPr>
        <w:t>., 42, pp. 2099–2112,</w:t>
      </w:r>
      <w:r>
        <w:rPr>
          <w:lang w:val="en-US"/>
        </w:rPr>
        <w:t xml:space="preserve"> doi</w:t>
      </w:r>
      <w:proofErr w:type="gramStart"/>
      <w:r>
        <w:rPr>
          <w:lang w:val="en-US"/>
        </w:rPr>
        <w:t>:10.1007</w:t>
      </w:r>
      <w:proofErr w:type="gramEnd"/>
      <w:r>
        <w:rPr>
          <w:lang w:val="en-US"/>
        </w:rPr>
        <w:t>/s00382-013-1849-y.</w:t>
      </w:r>
    </w:p>
    <w:p w:rsidR="00224B56" w:rsidRPr="00224B56" w:rsidRDefault="00224B56" w:rsidP="00224B56">
      <w:pPr>
        <w:jc w:val="both"/>
        <w:rPr>
          <w:lang w:val="en-US"/>
        </w:rPr>
      </w:pPr>
      <w:proofErr w:type="spellStart"/>
      <w:r w:rsidRPr="00224B56">
        <w:rPr>
          <w:lang w:val="en-US"/>
        </w:rPr>
        <w:t>Déry</w:t>
      </w:r>
      <w:proofErr w:type="spellEnd"/>
      <w:r w:rsidRPr="00224B56">
        <w:rPr>
          <w:lang w:val="en-US"/>
        </w:rPr>
        <w:t>, S. J., and Wood, E. F</w:t>
      </w:r>
      <w:proofErr w:type="gramStart"/>
      <w:r w:rsidRPr="00224B56">
        <w:rPr>
          <w:lang w:val="en-US"/>
        </w:rPr>
        <w:t>. ,</w:t>
      </w:r>
      <w:proofErr w:type="gramEnd"/>
      <w:r w:rsidRPr="00224B56">
        <w:rPr>
          <w:lang w:val="en-US"/>
        </w:rPr>
        <w:t xml:space="preserve"> 2005: Decreasing river discharge in northern Canada, </w:t>
      </w:r>
      <w:proofErr w:type="spellStart"/>
      <w:r w:rsidRPr="00224B56">
        <w:rPr>
          <w:lang w:val="en-US"/>
        </w:rPr>
        <w:t>Geophys</w:t>
      </w:r>
      <w:proofErr w:type="spellEnd"/>
      <w:r w:rsidRPr="00224B56">
        <w:rPr>
          <w:lang w:val="en-US"/>
        </w:rPr>
        <w:t>. Res. Lett., 32, L1</w:t>
      </w:r>
      <w:r>
        <w:rPr>
          <w:lang w:val="en-US"/>
        </w:rPr>
        <w:t>0401, doi</w:t>
      </w:r>
      <w:proofErr w:type="gramStart"/>
      <w:r>
        <w:rPr>
          <w:lang w:val="en-US"/>
        </w:rPr>
        <w:t>:10.1029</w:t>
      </w:r>
      <w:proofErr w:type="gramEnd"/>
      <w:r>
        <w:rPr>
          <w:lang w:val="en-US"/>
        </w:rPr>
        <w:t>/2005GL022845.</w:t>
      </w:r>
    </w:p>
    <w:p w:rsidR="00224B56" w:rsidRPr="00224B56" w:rsidRDefault="00224B56" w:rsidP="00224B56">
      <w:pPr>
        <w:jc w:val="both"/>
        <w:rPr>
          <w:lang w:val="en-US"/>
        </w:rPr>
      </w:pPr>
      <w:r w:rsidRPr="00224B56">
        <w:rPr>
          <w:lang w:val="en-US"/>
        </w:rPr>
        <w:t xml:space="preserve">Eisenman, I., N. </w:t>
      </w:r>
      <w:proofErr w:type="spellStart"/>
      <w:r w:rsidRPr="00224B56">
        <w:rPr>
          <w:lang w:val="en-US"/>
        </w:rPr>
        <w:t>Untersteiner</w:t>
      </w:r>
      <w:proofErr w:type="spellEnd"/>
      <w:r w:rsidRPr="00224B56">
        <w:rPr>
          <w:lang w:val="en-US"/>
        </w:rPr>
        <w:t xml:space="preserve">, and J. S. </w:t>
      </w:r>
      <w:proofErr w:type="spellStart"/>
      <w:r w:rsidRPr="00224B56">
        <w:rPr>
          <w:lang w:val="en-US"/>
        </w:rPr>
        <w:t>Wettlaufer</w:t>
      </w:r>
      <w:proofErr w:type="spellEnd"/>
      <w:r w:rsidRPr="00224B56">
        <w:rPr>
          <w:lang w:val="en-US"/>
        </w:rPr>
        <w:t xml:space="preserve"> (2007), </w:t>
      </w:r>
      <w:proofErr w:type="gramStart"/>
      <w:r w:rsidRPr="00224B56">
        <w:rPr>
          <w:lang w:val="en-US"/>
        </w:rPr>
        <w:t>On</w:t>
      </w:r>
      <w:proofErr w:type="gramEnd"/>
      <w:r w:rsidRPr="00224B56">
        <w:rPr>
          <w:lang w:val="en-US"/>
        </w:rPr>
        <w:t xml:space="preserve"> the reliability of simulated Arctic sea ice in global climate models, </w:t>
      </w:r>
      <w:proofErr w:type="spellStart"/>
      <w:r w:rsidRPr="00224B56">
        <w:rPr>
          <w:lang w:val="en-US"/>
        </w:rPr>
        <w:t>Geophys</w:t>
      </w:r>
      <w:proofErr w:type="spellEnd"/>
      <w:r w:rsidRPr="00224B56">
        <w:rPr>
          <w:lang w:val="en-US"/>
        </w:rPr>
        <w:t>. Res. Lett., 34, L10501, doi</w:t>
      </w:r>
      <w:proofErr w:type="gramStart"/>
      <w:r w:rsidRPr="00224B56">
        <w:rPr>
          <w:lang w:val="en-US"/>
        </w:rPr>
        <w:t>:10.1029</w:t>
      </w:r>
      <w:proofErr w:type="gramEnd"/>
      <w:r w:rsidRPr="00224B56">
        <w:rPr>
          <w:lang w:val="en-US"/>
        </w:rPr>
        <w:t>/2007GL029914.</w:t>
      </w:r>
    </w:p>
    <w:p w:rsidR="00224B56" w:rsidRPr="00224B56" w:rsidRDefault="00224B56" w:rsidP="00224B56">
      <w:pPr>
        <w:jc w:val="both"/>
        <w:rPr>
          <w:lang w:val="en-US"/>
        </w:rPr>
      </w:pPr>
      <w:r w:rsidRPr="00224B56">
        <w:rPr>
          <w:lang w:val="en-US"/>
        </w:rPr>
        <w:t xml:space="preserve">English, J., A. </w:t>
      </w:r>
      <w:proofErr w:type="spellStart"/>
      <w:r w:rsidRPr="00224B56">
        <w:rPr>
          <w:lang w:val="en-US"/>
        </w:rPr>
        <w:t>Gettelman</w:t>
      </w:r>
      <w:proofErr w:type="spellEnd"/>
      <w:r w:rsidRPr="00224B56">
        <w:rPr>
          <w:lang w:val="en-US"/>
        </w:rPr>
        <w:t xml:space="preserve">, and G. Henderson, 2015: Arctic Radiative Fluxes: Present-day biases and future projections in CMIP5 models. J. Climate. </w:t>
      </w:r>
      <w:proofErr w:type="gramStart"/>
      <w:r w:rsidRPr="00224B56">
        <w:rPr>
          <w:lang w:val="en-US"/>
        </w:rPr>
        <w:t>doi:10.1175/JCLI-D-14-00801.1, in press.</w:t>
      </w:r>
      <w:proofErr w:type="gramEnd"/>
    </w:p>
    <w:p w:rsidR="00224B56" w:rsidRPr="00224B56" w:rsidRDefault="00224B56" w:rsidP="00224B56">
      <w:pPr>
        <w:jc w:val="both"/>
        <w:rPr>
          <w:lang w:val="en-US"/>
        </w:rPr>
      </w:pPr>
      <w:proofErr w:type="spellStart"/>
      <w:r w:rsidRPr="00224B56">
        <w:rPr>
          <w:lang w:val="en-US"/>
        </w:rPr>
        <w:t>Estilow</w:t>
      </w:r>
      <w:proofErr w:type="spellEnd"/>
      <w:r w:rsidRPr="00224B56">
        <w:rPr>
          <w:lang w:val="en-US"/>
        </w:rPr>
        <w:t xml:space="preserve">, T. W., A. H. Young, and D. A. Robinson, 2015: </w:t>
      </w:r>
      <w:proofErr w:type="gramStart"/>
      <w:r w:rsidRPr="00224B56">
        <w:rPr>
          <w:lang w:val="en-US"/>
        </w:rPr>
        <w:t>A long-term Northern Hemisphere snow cover</w:t>
      </w:r>
      <w:proofErr w:type="gramEnd"/>
      <w:r w:rsidRPr="00224B56">
        <w:rPr>
          <w:lang w:val="en-US"/>
        </w:rPr>
        <w:t xml:space="preserve"> extent data record for climate studies and monitoring. Earth Sy</w:t>
      </w:r>
      <w:r>
        <w:rPr>
          <w:lang w:val="en-US"/>
        </w:rPr>
        <w:t>stem Science Data 7.1: 137-142.</w:t>
      </w:r>
    </w:p>
    <w:p w:rsidR="00224B56" w:rsidRPr="00224B56" w:rsidRDefault="00224B56" w:rsidP="00224B56">
      <w:pPr>
        <w:jc w:val="both"/>
        <w:rPr>
          <w:lang w:val="en-US"/>
        </w:rPr>
      </w:pPr>
      <w:r w:rsidRPr="00224B56">
        <w:rPr>
          <w:lang w:val="en-US"/>
        </w:rPr>
        <w:t xml:space="preserve">Held, I. M., and </w:t>
      </w:r>
      <w:proofErr w:type="spellStart"/>
      <w:r w:rsidRPr="00224B56">
        <w:rPr>
          <w:lang w:val="en-US"/>
        </w:rPr>
        <w:t>Soden</w:t>
      </w:r>
      <w:proofErr w:type="spellEnd"/>
      <w:r w:rsidRPr="00224B56">
        <w:rPr>
          <w:lang w:val="en-US"/>
        </w:rPr>
        <w:t xml:space="preserve">, B.J., 2006: Robust responses of the hydrological cycle to global warming. J. </w:t>
      </w:r>
      <w:proofErr w:type="spellStart"/>
      <w:r w:rsidRPr="00224B56">
        <w:rPr>
          <w:lang w:val="en-US"/>
        </w:rPr>
        <w:t>Clim</w:t>
      </w:r>
      <w:proofErr w:type="spellEnd"/>
      <w:r w:rsidRPr="00224B56">
        <w:rPr>
          <w:lang w:val="en-US"/>
        </w:rPr>
        <w:t>., vol. 19, pp. 5686–5699</w:t>
      </w:r>
      <w:r>
        <w:rPr>
          <w:lang w:val="en-US"/>
        </w:rPr>
        <w:t>.</w:t>
      </w:r>
    </w:p>
    <w:p w:rsidR="00224B56" w:rsidRPr="00224B56" w:rsidRDefault="00224B56" w:rsidP="00224B56">
      <w:pPr>
        <w:jc w:val="both"/>
        <w:rPr>
          <w:lang w:val="en-US"/>
        </w:rPr>
      </w:pPr>
      <w:r w:rsidRPr="00224B56">
        <w:rPr>
          <w:lang w:val="en-US"/>
        </w:rPr>
        <w:t xml:space="preserve">IPCC, 2013: Annex </w:t>
      </w:r>
      <w:proofErr w:type="gramStart"/>
      <w:r w:rsidRPr="00224B56">
        <w:rPr>
          <w:lang w:val="en-US"/>
        </w:rPr>
        <w:t>I</w:t>
      </w:r>
      <w:proofErr w:type="gramEnd"/>
      <w:r w:rsidRPr="00224B56">
        <w:rPr>
          <w:lang w:val="en-US"/>
        </w:rPr>
        <w:t xml:space="preserve">: Atlas of Global and Regional Climate Projections [van </w:t>
      </w:r>
      <w:proofErr w:type="spellStart"/>
      <w:r w:rsidRPr="00224B56">
        <w:rPr>
          <w:lang w:val="en-US"/>
        </w:rPr>
        <w:t>Oldenborgh</w:t>
      </w:r>
      <w:proofErr w:type="spellEnd"/>
      <w:r w:rsidRPr="00224B56">
        <w:rPr>
          <w:lang w:val="en-US"/>
        </w:rPr>
        <w:t xml:space="preserve">, G.J., M. Collins, J. </w:t>
      </w:r>
      <w:proofErr w:type="spellStart"/>
      <w:r w:rsidRPr="00224B56">
        <w:rPr>
          <w:lang w:val="en-US"/>
        </w:rPr>
        <w:t>Arblaster</w:t>
      </w:r>
      <w:proofErr w:type="spellEnd"/>
      <w:r w:rsidRPr="00224B56">
        <w:rPr>
          <w:lang w:val="en-US"/>
        </w:rPr>
        <w:t xml:space="preserve">, J.H. Christensen, J. </w:t>
      </w:r>
      <w:proofErr w:type="spellStart"/>
      <w:r w:rsidRPr="00224B56">
        <w:rPr>
          <w:lang w:val="en-US"/>
        </w:rPr>
        <w:t>Marotzke</w:t>
      </w:r>
      <w:proofErr w:type="spellEnd"/>
      <w:r w:rsidRPr="00224B56">
        <w:rPr>
          <w:lang w:val="en-US"/>
        </w:rPr>
        <w:t xml:space="preserve">, S.B. Power, M. </w:t>
      </w:r>
      <w:proofErr w:type="spellStart"/>
      <w:r w:rsidRPr="00224B56">
        <w:rPr>
          <w:lang w:val="en-US"/>
        </w:rPr>
        <w:t>Rummukainen</w:t>
      </w:r>
      <w:proofErr w:type="spellEnd"/>
      <w:r w:rsidRPr="00224B56">
        <w:rPr>
          <w:lang w:val="en-US"/>
        </w:rPr>
        <w:t xml:space="preserve"> and T. Zhou (eds.)]. In: Climate Change 2013: The Physical </w:t>
      </w:r>
      <w:proofErr w:type="spellStart"/>
      <w:r w:rsidRPr="00224B56">
        <w:rPr>
          <w:lang w:val="en-US"/>
        </w:rPr>
        <w:t>Sci¬ence</w:t>
      </w:r>
      <w:proofErr w:type="spellEnd"/>
      <w:r w:rsidRPr="00224B56">
        <w:rPr>
          <w:lang w:val="en-US"/>
        </w:rPr>
        <w:t xml:space="preserve"> Basis. Contribution of Working Group I to the Fifth Assessment Report of the Intergovernmental Panel on Climate Change [Stocker, T.F., D. Qin, </w:t>
      </w:r>
      <w:proofErr w:type="gramStart"/>
      <w:r w:rsidRPr="00224B56">
        <w:rPr>
          <w:lang w:val="en-US"/>
        </w:rPr>
        <w:t>G</w:t>
      </w:r>
      <w:proofErr w:type="gramEnd"/>
      <w:r w:rsidRPr="00224B56">
        <w:rPr>
          <w:lang w:val="en-US"/>
        </w:rPr>
        <w:t xml:space="preserve">.-K. </w:t>
      </w:r>
      <w:proofErr w:type="spellStart"/>
      <w:r w:rsidRPr="00224B56">
        <w:rPr>
          <w:lang w:val="en-US"/>
        </w:rPr>
        <w:t>Plattner</w:t>
      </w:r>
      <w:proofErr w:type="spellEnd"/>
      <w:r w:rsidRPr="00224B56">
        <w:rPr>
          <w:lang w:val="en-US"/>
        </w:rPr>
        <w:t xml:space="preserve">, M. </w:t>
      </w:r>
      <w:proofErr w:type="spellStart"/>
      <w:r w:rsidRPr="00224B56">
        <w:rPr>
          <w:lang w:val="en-US"/>
        </w:rPr>
        <w:t>Tignor</w:t>
      </w:r>
      <w:proofErr w:type="spellEnd"/>
      <w:r w:rsidRPr="00224B56">
        <w:rPr>
          <w:lang w:val="en-US"/>
        </w:rPr>
        <w:t xml:space="preserve">, S.K. </w:t>
      </w:r>
      <w:r w:rsidRPr="00224B56">
        <w:rPr>
          <w:lang w:val="en-US"/>
        </w:rPr>
        <w:lastRenderedPageBreak/>
        <w:t xml:space="preserve">Allen, J. </w:t>
      </w:r>
      <w:proofErr w:type="spellStart"/>
      <w:r w:rsidRPr="00224B56">
        <w:rPr>
          <w:lang w:val="en-US"/>
        </w:rPr>
        <w:t>Boschung</w:t>
      </w:r>
      <w:proofErr w:type="spellEnd"/>
      <w:r w:rsidRPr="00224B56">
        <w:rPr>
          <w:lang w:val="en-US"/>
        </w:rPr>
        <w:t xml:space="preserve">, A. </w:t>
      </w:r>
      <w:proofErr w:type="spellStart"/>
      <w:r w:rsidRPr="00224B56">
        <w:rPr>
          <w:lang w:val="en-US"/>
        </w:rPr>
        <w:t>Nauels</w:t>
      </w:r>
      <w:proofErr w:type="spellEnd"/>
      <w:r w:rsidRPr="00224B56">
        <w:rPr>
          <w:lang w:val="en-US"/>
        </w:rPr>
        <w:t xml:space="preserve">, Y. Xia, V. </w:t>
      </w:r>
      <w:proofErr w:type="spellStart"/>
      <w:r w:rsidRPr="00224B56">
        <w:rPr>
          <w:lang w:val="en-US"/>
        </w:rPr>
        <w:t>Bex</w:t>
      </w:r>
      <w:proofErr w:type="spellEnd"/>
      <w:r w:rsidRPr="00224B56">
        <w:rPr>
          <w:lang w:val="en-US"/>
        </w:rPr>
        <w:t xml:space="preserve"> and P.M. </w:t>
      </w:r>
      <w:proofErr w:type="spellStart"/>
      <w:r w:rsidRPr="00224B56">
        <w:rPr>
          <w:lang w:val="en-US"/>
        </w:rPr>
        <w:t>Midgley</w:t>
      </w:r>
      <w:proofErr w:type="spellEnd"/>
      <w:r w:rsidRPr="00224B56">
        <w:rPr>
          <w:lang w:val="en-US"/>
        </w:rPr>
        <w:t xml:space="preserve"> (eds.)]. </w:t>
      </w:r>
      <w:proofErr w:type="gramStart"/>
      <w:r w:rsidRPr="00224B56">
        <w:rPr>
          <w:lang w:val="en-US"/>
        </w:rPr>
        <w:t>Cambridge University Press, Cambridge, United</w:t>
      </w:r>
      <w:r>
        <w:rPr>
          <w:lang w:val="en-US"/>
        </w:rPr>
        <w:t xml:space="preserve"> Kingdom and New York, NY, USA.</w:t>
      </w:r>
      <w:proofErr w:type="gramEnd"/>
    </w:p>
    <w:p w:rsidR="00224B56" w:rsidRPr="00224B56" w:rsidRDefault="00224B56" w:rsidP="00224B56">
      <w:pPr>
        <w:jc w:val="both"/>
        <w:rPr>
          <w:lang w:val="en-US"/>
        </w:rPr>
      </w:pPr>
      <w:proofErr w:type="spellStart"/>
      <w:r w:rsidRPr="00224B56">
        <w:rPr>
          <w:lang w:val="en-US"/>
        </w:rPr>
        <w:t>Kattsov</w:t>
      </w:r>
      <w:proofErr w:type="spellEnd"/>
      <w:r w:rsidRPr="00224B56">
        <w:rPr>
          <w:lang w:val="en-US"/>
        </w:rPr>
        <w:t xml:space="preserve">, V.M., Walsh, J.E., Chapman, W.L., </w:t>
      </w:r>
      <w:proofErr w:type="spellStart"/>
      <w:r w:rsidRPr="00224B56">
        <w:rPr>
          <w:lang w:val="en-US"/>
        </w:rPr>
        <w:t>Govorkova</w:t>
      </w:r>
      <w:proofErr w:type="spellEnd"/>
      <w:r w:rsidRPr="00224B56">
        <w:rPr>
          <w:lang w:val="en-US"/>
        </w:rPr>
        <w:t>, V.A., Pavlova, T.V., and Zhang, X., 2007: Simulation and Projection of Arctic Freshwater Budget Components by the IPCC AR4 Global Climate Models. Journal of Hydrometeorology, Vol. 8, Issue 3, 571-589.</w:t>
      </w:r>
    </w:p>
    <w:p w:rsidR="00224B56" w:rsidRPr="00224B56" w:rsidRDefault="00224B56" w:rsidP="00224B56">
      <w:pPr>
        <w:jc w:val="both"/>
        <w:rPr>
          <w:lang w:val="en-US"/>
        </w:rPr>
      </w:pPr>
      <w:r w:rsidRPr="00224B56">
        <w:rPr>
          <w:lang w:val="en-US"/>
        </w:rPr>
        <w:t xml:space="preserve">Key, E.L., </w:t>
      </w:r>
      <w:proofErr w:type="spellStart"/>
      <w:r w:rsidRPr="00224B56">
        <w:rPr>
          <w:lang w:val="en-US"/>
        </w:rPr>
        <w:t>Minnett</w:t>
      </w:r>
      <w:proofErr w:type="spellEnd"/>
      <w:r w:rsidRPr="00224B56">
        <w:rPr>
          <w:lang w:val="en-US"/>
        </w:rPr>
        <w:t>, P.J., and Jones, R.A., 2004: Cloud distributions over the coastal Arctic Ocean: surface-based and satellite observations. Atmosph</w:t>
      </w:r>
      <w:r>
        <w:rPr>
          <w:lang w:val="en-US"/>
        </w:rPr>
        <w:t>eric Research, 72, pp. 57 – 88.</w:t>
      </w:r>
    </w:p>
    <w:p w:rsidR="00224B56" w:rsidRPr="00224B56" w:rsidRDefault="00224B56" w:rsidP="00224B56">
      <w:pPr>
        <w:jc w:val="both"/>
        <w:rPr>
          <w:lang w:val="en-US"/>
        </w:rPr>
      </w:pPr>
      <w:proofErr w:type="spellStart"/>
      <w:r w:rsidRPr="00224B56">
        <w:rPr>
          <w:lang w:val="en-US"/>
        </w:rPr>
        <w:t>Koenigk</w:t>
      </w:r>
      <w:proofErr w:type="spellEnd"/>
      <w:r w:rsidRPr="00224B56">
        <w:rPr>
          <w:lang w:val="en-US"/>
        </w:rPr>
        <w:t xml:space="preserve">, T., </w:t>
      </w:r>
      <w:proofErr w:type="spellStart"/>
      <w:r w:rsidRPr="00224B56">
        <w:rPr>
          <w:lang w:val="en-US"/>
        </w:rPr>
        <w:t>Brodeau</w:t>
      </w:r>
      <w:proofErr w:type="spellEnd"/>
      <w:r w:rsidRPr="00224B56">
        <w:rPr>
          <w:lang w:val="en-US"/>
        </w:rPr>
        <w:t xml:space="preserve">, L., Graversen, R.G., </w:t>
      </w:r>
      <w:proofErr w:type="spellStart"/>
      <w:r w:rsidRPr="00224B56">
        <w:rPr>
          <w:lang w:val="en-US"/>
        </w:rPr>
        <w:t>Karlsson</w:t>
      </w:r>
      <w:proofErr w:type="spellEnd"/>
      <w:r w:rsidRPr="00224B56">
        <w:rPr>
          <w:lang w:val="en-US"/>
        </w:rPr>
        <w:t xml:space="preserve">, J., </w:t>
      </w:r>
      <w:proofErr w:type="spellStart"/>
      <w:r w:rsidRPr="00224B56">
        <w:rPr>
          <w:lang w:val="en-US"/>
        </w:rPr>
        <w:t>Svensson</w:t>
      </w:r>
      <w:proofErr w:type="spellEnd"/>
      <w:r w:rsidRPr="00224B56">
        <w:rPr>
          <w:lang w:val="en-US"/>
        </w:rPr>
        <w:t xml:space="preserve">, G., </w:t>
      </w:r>
      <w:proofErr w:type="spellStart"/>
      <w:r w:rsidRPr="00224B56">
        <w:rPr>
          <w:lang w:val="en-US"/>
        </w:rPr>
        <w:t>Tjernström</w:t>
      </w:r>
      <w:proofErr w:type="spellEnd"/>
      <w:r w:rsidRPr="00224B56">
        <w:rPr>
          <w:lang w:val="en-US"/>
        </w:rPr>
        <w:t xml:space="preserve">, M., </w:t>
      </w:r>
      <w:proofErr w:type="spellStart"/>
      <w:r w:rsidRPr="00224B56">
        <w:rPr>
          <w:lang w:val="en-US"/>
        </w:rPr>
        <w:t>Willén</w:t>
      </w:r>
      <w:proofErr w:type="spellEnd"/>
      <w:r w:rsidRPr="00224B56">
        <w:rPr>
          <w:lang w:val="en-US"/>
        </w:rPr>
        <w:t xml:space="preserve">, U., and </w:t>
      </w:r>
      <w:proofErr w:type="spellStart"/>
      <w:r w:rsidRPr="00224B56">
        <w:rPr>
          <w:lang w:val="en-US"/>
        </w:rPr>
        <w:t>Wyser</w:t>
      </w:r>
      <w:proofErr w:type="spellEnd"/>
      <w:r w:rsidRPr="00224B56">
        <w:rPr>
          <w:lang w:val="en-US"/>
        </w:rPr>
        <w:t xml:space="preserve">, K., 2013: Arctic climate change in 21st century CMIP5 simulations with EC-Earth, </w:t>
      </w:r>
      <w:proofErr w:type="spellStart"/>
      <w:r w:rsidRPr="00224B56">
        <w:rPr>
          <w:lang w:val="en-US"/>
        </w:rPr>
        <w:t>Clim</w:t>
      </w:r>
      <w:proofErr w:type="spellEnd"/>
      <w:r w:rsidRPr="00224B56">
        <w:rPr>
          <w:lang w:val="en-US"/>
        </w:rPr>
        <w:t xml:space="preserve">. </w:t>
      </w:r>
      <w:proofErr w:type="spellStart"/>
      <w:proofErr w:type="gramStart"/>
      <w:r w:rsidRPr="00224B56">
        <w:rPr>
          <w:lang w:val="en-US"/>
        </w:rPr>
        <w:t>Dyn</w:t>
      </w:r>
      <w:proofErr w:type="spellEnd"/>
      <w:r w:rsidRPr="00224B56">
        <w:rPr>
          <w:lang w:val="en-US"/>
        </w:rPr>
        <w:t>.,</w:t>
      </w:r>
      <w:proofErr w:type="gramEnd"/>
      <w:r w:rsidRPr="00224B56">
        <w:rPr>
          <w:lang w:val="en-US"/>
        </w:rPr>
        <w:t xml:space="preserve"> 40, pp. 2719–2743,</w:t>
      </w:r>
      <w:r>
        <w:rPr>
          <w:lang w:val="en-US"/>
        </w:rPr>
        <w:t xml:space="preserve"> doi:10.1007/s00382-012-1505-y.</w:t>
      </w:r>
    </w:p>
    <w:p w:rsidR="00224B56" w:rsidRPr="00224B56" w:rsidRDefault="00224B56" w:rsidP="00224B56">
      <w:pPr>
        <w:jc w:val="both"/>
        <w:rPr>
          <w:lang w:val="en-US"/>
        </w:rPr>
      </w:pPr>
      <w:proofErr w:type="spellStart"/>
      <w:r w:rsidRPr="00224B56">
        <w:rPr>
          <w:lang w:val="en-US"/>
        </w:rPr>
        <w:t>Langen</w:t>
      </w:r>
      <w:proofErr w:type="spellEnd"/>
      <w:r w:rsidRPr="00224B56">
        <w:rPr>
          <w:lang w:val="en-US"/>
        </w:rPr>
        <w:t xml:space="preserve">, P.L., Graversen, R.G., and </w:t>
      </w:r>
      <w:proofErr w:type="spellStart"/>
      <w:r w:rsidRPr="00224B56">
        <w:rPr>
          <w:lang w:val="en-US"/>
        </w:rPr>
        <w:t>Mauritsen</w:t>
      </w:r>
      <w:proofErr w:type="spellEnd"/>
      <w:r w:rsidRPr="00224B56">
        <w:rPr>
          <w:lang w:val="en-US"/>
        </w:rPr>
        <w:t xml:space="preserve">, T., 2012: Separation of Contributions from Radiative Feedbacks to Polar Amplification on an </w:t>
      </w:r>
      <w:proofErr w:type="spellStart"/>
      <w:r w:rsidRPr="00224B56">
        <w:rPr>
          <w:lang w:val="en-US"/>
        </w:rPr>
        <w:t>Aquaplan</w:t>
      </w:r>
      <w:r>
        <w:rPr>
          <w:lang w:val="en-US"/>
        </w:rPr>
        <w:t>et</w:t>
      </w:r>
      <w:proofErr w:type="spellEnd"/>
      <w:r>
        <w:rPr>
          <w:lang w:val="en-US"/>
        </w:rPr>
        <w:t xml:space="preserve">. J. Climate, 25, 3010–3024. </w:t>
      </w:r>
    </w:p>
    <w:p w:rsidR="00224B56" w:rsidRPr="00224B56" w:rsidRDefault="00224B56" w:rsidP="00224B56">
      <w:pPr>
        <w:jc w:val="both"/>
        <w:rPr>
          <w:lang w:val="en-US"/>
        </w:rPr>
      </w:pPr>
      <w:r w:rsidRPr="00224B56">
        <w:rPr>
          <w:lang w:val="en-US"/>
        </w:rPr>
        <w:t xml:space="preserve">Liston, G. E., and C. A. </w:t>
      </w:r>
      <w:proofErr w:type="spellStart"/>
      <w:r w:rsidRPr="00224B56">
        <w:rPr>
          <w:lang w:val="en-US"/>
        </w:rPr>
        <w:t>Hiemstra</w:t>
      </w:r>
      <w:proofErr w:type="spellEnd"/>
      <w:r w:rsidRPr="00224B56">
        <w:rPr>
          <w:lang w:val="en-US"/>
        </w:rPr>
        <w:t xml:space="preserve">, 2011: The Changing Cryosphere: Pan-Arctic Snow Trends (1979–2009). J. </w:t>
      </w:r>
      <w:proofErr w:type="spellStart"/>
      <w:r w:rsidRPr="00224B56">
        <w:rPr>
          <w:lang w:val="en-US"/>
        </w:rPr>
        <w:t>Clim</w:t>
      </w:r>
      <w:proofErr w:type="spellEnd"/>
      <w:r w:rsidRPr="00224B56">
        <w:rPr>
          <w:lang w:val="en-US"/>
        </w:rPr>
        <w:t xml:space="preserve">., 24, 5691–5712, </w:t>
      </w:r>
      <w:r>
        <w:rPr>
          <w:lang w:val="en-US"/>
        </w:rPr>
        <w:t xml:space="preserve">doi:10.1175/JCLI-D-11-00081.1. </w:t>
      </w:r>
    </w:p>
    <w:p w:rsidR="00224B56" w:rsidRPr="00224B56" w:rsidRDefault="00224B56" w:rsidP="00224B56">
      <w:pPr>
        <w:jc w:val="both"/>
        <w:rPr>
          <w:lang w:val="en-US"/>
        </w:rPr>
      </w:pPr>
      <w:proofErr w:type="spellStart"/>
      <w:r w:rsidRPr="00224B56">
        <w:rPr>
          <w:lang w:val="en-US"/>
        </w:rPr>
        <w:t>Muskett</w:t>
      </w:r>
      <w:proofErr w:type="spellEnd"/>
      <w:r w:rsidRPr="00224B56">
        <w:rPr>
          <w:lang w:val="en-US"/>
        </w:rPr>
        <w:t xml:space="preserve">, R.R., and </w:t>
      </w:r>
      <w:proofErr w:type="spellStart"/>
      <w:r w:rsidRPr="00224B56">
        <w:rPr>
          <w:lang w:val="en-US"/>
        </w:rPr>
        <w:t>Romanovsky</w:t>
      </w:r>
      <w:proofErr w:type="spellEnd"/>
      <w:r w:rsidRPr="00224B56">
        <w:rPr>
          <w:lang w:val="en-US"/>
        </w:rPr>
        <w:t>, V.E., 2009: Groundwater storage changes in Arctic permafrost watersheds from GRACE and in situ measurements. Environ. Res. Lett., 4, doi:10.1088/1748-9326/4/</w:t>
      </w:r>
      <w:r>
        <w:rPr>
          <w:lang w:val="en-US"/>
        </w:rPr>
        <w:t>4/045009.</w:t>
      </w:r>
    </w:p>
    <w:p w:rsidR="00224B56" w:rsidRPr="00224B56" w:rsidRDefault="00224B56" w:rsidP="00224B56">
      <w:pPr>
        <w:jc w:val="both"/>
        <w:rPr>
          <w:lang w:val="en-US"/>
        </w:rPr>
      </w:pPr>
      <w:r w:rsidRPr="00224B56">
        <w:rPr>
          <w:lang w:val="en-US"/>
        </w:rPr>
        <w:t xml:space="preserve">Peterson, I., J. Hamilton, S. </w:t>
      </w:r>
      <w:proofErr w:type="spellStart"/>
      <w:r w:rsidRPr="00224B56">
        <w:rPr>
          <w:lang w:val="en-US"/>
        </w:rPr>
        <w:t>Prinsenberg</w:t>
      </w:r>
      <w:proofErr w:type="spellEnd"/>
      <w:r w:rsidRPr="00224B56">
        <w:rPr>
          <w:lang w:val="en-US"/>
        </w:rPr>
        <w:t xml:space="preserve">, and R. </w:t>
      </w:r>
      <w:proofErr w:type="spellStart"/>
      <w:r w:rsidRPr="00224B56">
        <w:rPr>
          <w:lang w:val="en-US"/>
        </w:rPr>
        <w:t>Pettipas</w:t>
      </w:r>
      <w:proofErr w:type="spellEnd"/>
      <w:r w:rsidRPr="00224B56">
        <w:rPr>
          <w:lang w:val="en-US"/>
        </w:rPr>
        <w:t xml:space="preserve"> (2012), Wind-forcing of volume transport through Lancaster Sound, J. </w:t>
      </w:r>
      <w:proofErr w:type="spellStart"/>
      <w:r w:rsidRPr="00224B56">
        <w:rPr>
          <w:lang w:val="en-US"/>
        </w:rPr>
        <w:t>Geophys</w:t>
      </w:r>
      <w:proofErr w:type="spellEnd"/>
      <w:r w:rsidRPr="00224B56">
        <w:rPr>
          <w:lang w:val="en-US"/>
        </w:rPr>
        <w:t>. Res., 117, C1</w:t>
      </w:r>
      <w:r>
        <w:rPr>
          <w:lang w:val="en-US"/>
        </w:rPr>
        <w:t>1018, doi</w:t>
      </w:r>
      <w:proofErr w:type="gramStart"/>
      <w:r>
        <w:rPr>
          <w:lang w:val="en-US"/>
        </w:rPr>
        <w:t>:10.1029</w:t>
      </w:r>
      <w:proofErr w:type="gramEnd"/>
      <w:r>
        <w:rPr>
          <w:lang w:val="en-US"/>
        </w:rPr>
        <w:t>/2012JC008140.</w:t>
      </w:r>
    </w:p>
    <w:p w:rsidR="00224B56" w:rsidRPr="00224B56" w:rsidRDefault="00224B56" w:rsidP="00224B56">
      <w:pPr>
        <w:jc w:val="both"/>
        <w:rPr>
          <w:lang w:val="en-US"/>
        </w:rPr>
      </w:pPr>
      <w:proofErr w:type="spellStart"/>
      <w:r w:rsidRPr="00224B56">
        <w:rPr>
          <w:lang w:val="en-US"/>
        </w:rPr>
        <w:t>Pithan</w:t>
      </w:r>
      <w:proofErr w:type="spellEnd"/>
      <w:r w:rsidRPr="00224B56">
        <w:rPr>
          <w:lang w:val="en-US"/>
        </w:rPr>
        <w:t xml:space="preserve">, F., and T. </w:t>
      </w:r>
      <w:proofErr w:type="spellStart"/>
      <w:r w:rsidRPr="00224B56">
        <w:rPr>
          <w:lang w:val="en-US"/>
        </w:rPr>
        <w:t>Mauritsen</w:t>
      </w:r>
      <w:proofErr w:type="spellEnd"/>
      <w:r w:rsidRPr="00224B56">
        <w:rPr>
          <w:lang w:val="en-US"/>
        </w:rPr>
        <w:t>, 2014: Arctic amplification dominated by temperature feedbacks in contemporary climate models. Nature Geoscience, 7,</w:t>
      </w:r>
      <w:r>
        <w:rPr>
          <w:lang w:val="en-US"/>
        </w:rPr>
        <w:t xml:space="preserve"> 181–184, doi</w:t>
      </w:r>
      <w:proofErr w:type="gramStart"/>
      <w:r>
        <w:rPr>
          <w:lang w:val="en-US"/>
        </w:rPr>
        <w:t>:10.1038</w:t>
      </w:r>
      <w:proofErr w:type="gramEnd"/>
      <w:r>
        <w:rPr>
          <w:lang w:val="en-US"/>
        </w:rPr>
        <w:t>/ngeo2071.</w:t>
      </w:r>
    </w:p>
    <w:p w:rsidR="00224B56" w:rsidRPr="00224B56" w:rsidRDefault="00224B56" w:rsidP="00224B56">
      <w:pPr>
        <w:jc w:val="both"/>
        <w:rPr>
          <w:lang w:val="en-US"/>
        </w:rPr>
      </w:pPr>
      <w:r w:rsidRPr="00224B56">
        <w:rPr>
          <w:lang w:val="en-US"/>
        </w:rPr>
        <w:t xml:space="preserve">Screen, J.A., Simmonds, I., </w:t>
      </w:r>
      <w:proofErr w:type="spellStart"/>
      <w:r w:rsidRPr="00224B56">
        <w:rPr>
          <w:lang w:val="en-US"/>
        </w:rPr>
        <w:t>Deser</w:t>
      </w:r>
      <w:proofErr w:type="spellEnd"/>
      <w:r w:rsidRPr="00224B56">
        <w:rPr>
          <w:lang w:val="en-US"/>
        </w:rPr>
        <w:t>, C., Tomas, R., 2013: The Atmospheric Response to Three Decades of Observed Arctic Sea Ice Loss. J. Climate, 26, 1230–1248</w:t>
      </w:r>
    </w:p>
    <w:p w:rsidR="00224B56" w:rsidRPr="00224B56" w:rsidRDefault="00224B56" w:rsidP="00224B56">
      <w:pPr>
        <w:jc w:val="both"/>
        <w:rPr>
          <w:lang w:val="en-US"/>
        </w:rPr>
      </w:pPr>
      <w:proofErr w:type="spellStart"/>
      <w:r w:rsidRPr="00224B56">
        <w:rPr>
          <w:lang w:val="en-US"/>
        </w:rPr>
        <w:t>Serreze</w:t>
      </w:r>
      <w:proofErr w:type="spellEnd"/>
      <w:r w:rsidRPr="00224B56">
        <w:rPr>
          <w:lang w:val="en-US"/>
        </w:rPr>
        <w:t xml:space="preserve">, M., and Barry, R., 2011: Processes and impacts of Arctic amplification: A research synthesis. </w:t>
      </w:r>
      <w:proofErr w:type="gramStart"/>
      <w:r w:rsidRPr="00224B56">
        <w:rPr>
          <w:lang w:val="en-US"/>
        </w:rPr>
        <w:t>Global and Planetary Change, 77, pp.85–96.</w:t>
      </w:r>
      <w:proofErr w:type="gramEnd"/>
    </w:p>
    <w:p w:rsidR="00224B56" w:rsidRPr="00224B56" w:rsidRDefault="00224B56" w:rsidP="00224B56">
      <w:pPr>
        <w:jc w:val="both"/>
        <w:rPr>
          <w:lang w:val="en-US"/>
        </w:rPr>
      </w:pPr>
      <w:r w:rsidRPr="00224B56">
        <w:rPr>
          <w:lang w:val="en-US"/>
        </w:rPr>
        <w:t xml:space="preserve">Taylor, P.C., Ming </w:t>
      </w:r>
      <w:proofErr w:type="spellStart"/>
      <w:proofErr w:type="gramStart"/>
      <w:r w:rsidRPr="00224B56">
        <w:rPr>
          <w:lang w:val="en-US"/>
        </w:rPr>
        <w:t>Cai</w:t>
      </w:r>
      <w:proofErr w:type="spellEnd"/>
      <w:proofErr w:type="gramEnd"/>
      <w:r w:rsidRPr="00224B56">
        <w:rPr>
          <w:lang w:val="en-US"/>
        </w:rPr>
        <w:t xml:space="preserve">, </w:t>
      </w:r>
      <w:proofErr w:type="spellStart"/>
      <w:r w:rsidRPr="00224B56">
        <w:rPr>
          <w:lang w:val="en-US"/>
        </w:rPr>
        <w:t>Aixue</w:t>
      </w:r>
      <w:proofErr w:type="spellEnd"/>
      <w:r w:rsidRPr="00224B56">
        <w:rPr>
          <w:lang w:val="en-US"/>
        </w:rPr>
        <w:t xml:space="preserve"> Hu, Jerry </w:t>
      </w:r>
      <w:proofErr w:type="spellStart"/>
      <w:r w:rsidRPr="00224B56">
        <w:rPr>
          <w:lang w:val="en-US"/>
        </w:rPr>
        <w:t>Meehl</w:t>
      </w:r>
      <w:proofErr w:type="spellEnd"/>
      <w:r w:rsidRPr="00224B56">
        <w:rPr>
          <w:lang w:val="en-US"/>
        </w:rPr>
        <w:t xml:space="preserve">, Warren Washington, and </w:t>
      </w:r>
      <w:proofErr w:type="spellStart"/>
      <w:r w:rsidRPr="00224B56">
        <w:rPr>
          <w:lang w:val="en-US"/>
        </w:rPr>
        <w:t>Guang</w:t>
      </w:r>
      <w:proofErr w:type="spellEnd"/>
      <w:r w:rsidRPr="00224B56">
        <w:rPr>
          <w:lang w:val="en-US"/>
        </w:rPr>
        <w:t xml:space="preserve"> J. Zhang, 2013: A Decomposition of Feedback Contributions to Polar Warming Amplification. J. Climate, 26, 7023–7043. </w:t>
      </w:r>
    </w:p>
    <w:p w:rsidR="00224B56" w:rsidRPr="00224B56" w:rsidRDefault="00224B56" w:rsidP="00224B56">
      <w:pPr>
        <w:jc w:val="both"/>
        <w:rPr>
          <w:lang w:val="en-US"/>
        </w:rPr>
      </w:pPr>
      <w:proofErr w:type="spellStart"/>
      <w:r w:rsidRPr="00224B56">
        <w:rPr>
          <w:lang w:val="en-US"/>
        </w:rPr>
        <w:t>Vavrus</w:t>
      </w:r>
      <w:proofErr w:type="spellEnd"/>
      <w:r w:rsidRPr="00224B56">
        <w:rPr>
          <w:lang w:val="en-US"/>
        </w:rPr>
        <w:t xml:space="preserve">, S., </w:t>
      </w:r>
      <w:proofErr w:type="spellStart"/>
      <w:r w:rsidRPr="00224B56">
        <w:rPr>
          <w:lang w:val="en-US"/>
        </w:rPr>
        <w:t>Waliser</w:t>
      </w:r>
      <w:proofErr w:type="spellEnd"/>
      <w:r w:rsidRPr="00224B56">
        <w:rPr>
          <w:lang w:val="en-US"/>
        </w:rPr>
        <w:t xml:space="preserve">, D., </w:t>
      </w:r>
      <w:proofErr w:type="spellStart"/>
      <w:r w:rsidRPr="00224B56">
        <w:rPr>
          <w:lang w:val="en-US"/>
        </w:rPr>
        <w:t>Schweiger</w:t>
      </w:r>
      <w:proofErr w:type="spellEnd"/>
      <w:r w:rsidRPr="00224B56">
        <w:rPr>
          <w:lang w:val="en-US"/>
        </w:rPr>
        <w:t xml:space="preserve">, A., and Francis, J., 2009: Simulations of 20th and 21st century Arctic cloud amount in the global climate models assessed in the IPCC AR4. </w:t>
      </w:r>
      <w:proofErr w:type="spellStart"/>
      <w:r w:rsidRPr="00224B56">
        <w:rPr>
          <w:lang w:val="en-US"/>
        </w:rPr>
        <w:t>Clim</w:t>
      </w:r>
      <w:proofErr w:type="spellEnd"/>
      <w:r w:rsidRPr="00224B56">
        <w:rPr>
          <w:lang w:val="en-US"/>
        </w:rPr>
        <w:t xml:space="preserve">. </w:t>
      </w:r>
      <w:proofErr w:type="spellStart"/>
      <w:r w:rsidRPr="00224B56">
        <w:rPr>
          <w:lang w:val="en-US"/>
        </w:rPr>
        <w:t>Dyn</w:t>
      </w:r>
      <w:proofErr w:type="spellEnd"/>
      <w:r w:rsidRPr="00224B56">
        <w:rPr>
          <w:lang w:val="en-US"/>
        </w:rPr>
        <w:t>., 33, pp. 1099–1115,</w:t>
      </w:r>
      <w:r>
        <w:rPr>
          <w:lang w:val="en-US"/>
        </w:rPr>
        <w:t xml:space="preserve"> doi</w:t>
      </w:r>
      <w:proofErr w:type="gramStart"/>
      <w:r>
        <w:rPr>
          <w:lang w:val="en-US"/>
        </w:rPr>
        <w:t>:10.1007</w:t>
      </w:r>
      <w:proofErr w:type="gramEnd"/>
      <w:r>
        <w:rPr>
          <w:lang w:val="en-US"/>
        </w:rPr>
        <w:t>/s00382-008-0475-6.</w:t>
      </w:r>
    </w:p>
    <w:p w:rsidR="00224B56" w:rsidRPr="00224B56" w:rsidRDefault="00224B56" w:rsidP="00224B56">
      <w:pPr>
        <w:jc w:val="both"/>
        <w:rPr>
          <w:lang w:val="en-US"/>
        </w:rPr>
      </w:pPr>
      <w:proofErr w:type="spellStart"/>
      <w:r w:rsidRPr="00224B56">
        <w:rPr>
          <w:lang w:val="en-US"/>
        </w:rPr>
        <w:t>Vihma</w:t>
      </w:r>
      <w:proofErr w:type="spellEnd"/>
      <w:r w:rsidRPr="00224B56">
        <w:rPr>
          <w:lang w:val="en-US"/>
        </w:rPr>
        <w:t xml:space="preserve">, T., Screen, J., </w:t>
      </w:r>
      <w:proofErr w:type="spellStart"/>
      <w:r w:rsidRPr="00224B56">
        <w:rPr>
          <w:lang w:val="en-US"/>
        </w:rPr>
        <w:t>Tjernström</w:t>
      </w:r>
      <w:proofErr w:type="spellEnd"/>
      <w:r w:rsidRPr="00224B56">
        <w:rPr>
          <w:lang w:val="en-US"/>
        </w:rPr>
        <w:t xml:space="preserve">, M., Newton, B., Zhang, X., Popova, V., </w:t>
      </w:r>
      <w:proofErr w:type="spellStart"/>
      <w:r w:rsidRPr="00224B56">
        <w:rPr>
          <w:lang w:val="en-US"/>
        </w:rPr>
        <w:t>Deser</w:t>
      </w:r>
      <w:proofErr w:type="spellEnd"/>
      <w:r w:rsidRPr="00224B56">
        <w:rPr>
          <w:lang w:val="en-US"/>
        </w:rPr>
        <w:t xml:space="preserve">, C., Holland, M. and Prowse, T., 2015: The atmospheric role in the Arctic water cycle: A review on processes, past and future changes, and their impacts. J. </w:t>
      </w:r>
      <w:proofErr w:type="spellStart"/>
      <w:r w:rsidRPr="00224B56">
        <w:rPr>
          <w:lang w:val="en-US"/>
        </w:rPr>
        <w:t>Geophys</w:t>
      </w:r>
      <w:proofErr w:type="spellEnd"/>
      <w:r w:rsidRPr="00224B56">
        <w:rPr>
          <w:lang w:val="en-US"/>
        </w:rPr>
        <w:t xml:space="preserve">. Res. </w:t>
      </w:r>
      <w:proofErr w:type="spellStart"/>
      <w:r w:rsidRPr="00224B56">
        <w:rPr>
          <w:lang w:val="en-US"/>
        </w:rPr>
        <w:t>Biogeosci</w:t>
      </w:r>
      <w:proofErr w:type="spellEnd"/>
      <w:r w:rsidRPr="00224B56">
        <w:rPr>
          <w:lang w:val="en-US"/>
        </w:rPr>
        <w:t>., 121, 586</w:t>
      </w:r>
      <w:r>
        <w:rPr>
          <w:lang w:val="en-US"/>
        </w:rPr>
        <w:t>–620, doi</w:t>
      </w:r>
      <w:proofErr w:type="gramStart"/>
      <w:r>
        <w:rPr>
          <w:lang w:val="en-US"/>
        </w:rPr>
        <w:t>:10.1002</w:t>
      </w:r>
      <w:proofErr w:type="gramEnd"/>
      <w:r>
        <w:rPr>
          <w:lang w:val="en-US"/>
        </w:rPr>
        <w:t>/2015JG003132.</w:t>
      </w:r>
    </w:p>
    <w:p w:rsidR="00224B56" w:rsidRPr="00224B56" w:rsidRDefault="00224B56" w:rsidP="00224B56">
      <w:pPr>
        <w:jc w:val="both"/>
        <w:rPr>
          <w:lang w:val="en-US"/>
        </w:rPr>
      </w:pPr>
      <w:r w:rsidRPr="00224B56">
        <w:rPr>
          <w:lang w:val="en-US"/>
        </w:rPr>
        <w:t xml:space="preserve">Yu, Y., H. Stern, C. Fowler, F. </w:t>
      </w:r>
      <w:proofErr w:type="spellStart"/>
      <w:r w:rsidRPr="00224B56">
        <w:rPr>
          <w:lang w:val="en-US"/>
        </w:rPr>
        <w:t>Fetterer</w:t>
      </w:r>
      <w:proofErr w:type="spellEnd"/>
      <w:r w:rsidRPr="00224B56">
        <w:rPr>
          <w:lang w:val="en-US"/>
        </w:rPr>
        <w:t xml:space="preserve">, and J. </w:t>
      </w:r>
      <w:proofErr w:type="spellStart"/>
      <w:r w:rsidRPr="00224B56">
        <w:rPr>
          <w:lang w:val="en-US"/>
        </w:rPr>
        <w:t>Maslanik</w:t>
      </w:r>
      <w:proofErr w:type="spellEnd"/>
      <w:r w:rsidRPr="00224B56">
        <w:rPr>
          <w:lang w:val="en-US"/>
        </w:rPr>
        <w:t xml:space="preserve">, 2014: </w:t>
      </w:r>
      <w:proofErr w:type="spellStart"/>
      <w:r w:rsidRPr="00224B56">
        <w:rPr>
          <w:lang w:val="en-US"/>
        </w:rPr>
        <w:t>Interannual</w:t>
      </w:r>
      <w:proofErr w:type="spellEnd"/>
      <w:r w:rsidRPr="00224B56">
        <w:rPr>
          <w:lang w:val="en-US"/>
        </w:rPr>
        <w:t xml:space="preserve"> Variability of Arctic </w:t>
      </w:r>
      <w:proofErr w:type="spellStart"/>
      <w:r w:rsidRPr="00224B56">
        <w:rPr>
          <w:lang w:val="en-US"/>
        </w:rPr>
        <w:t>Landfast</w:t>
      </w:r>
      <w:proofErr w:type="spellEnd"/>
      <w:r w:rsidRPr="00224B56">
        <w:rPr>
          <w:lang w:val="en-US"/>
        </w:rPr>
        <w:t xml:space="preserve"> Ice between 1976 and 2007. J. Climate, 27, 227–243. </w:t>
      </w:r>
      <w:proofErr w:type="spellStart"/>
      <w:proofErr w:type="gramStart"/>
      <w:r w:rsidRPr="00224B56">
        <w:rPr>
          <w:lang w:val="en-US"/>
        </w:rPr>
        <w:t>doi</w:t>
      </w:r>
      <w:proofErr w:type="spellEnd"/>
      <w:proofErr w:type="gramEnd"/>
      <w:r w:rsidRPr="00224B56">
        <w:rPr>
          <w:lang w:val="en-US"/>
        </w:rPr>
        <w:t>: http://dx.do</w:t>
      </w:r>
      <w:r>
        <w:rPr>
          <w:lang w:val="en-US"/>
        </w:rPr>
        <w:t>i.org/10.1175/JCLI-D-13-00178.1</w:t>
      </w:r>
    </w:p>
    <w:p w:rsidR="00224B56" w:rsidRPr="00224B56" w:rsidRDefault="00224B56" w:rsidP="00224B56">
      <w:pPr>
        <w:jc w:val="both"/>
        <w:rPr>
          <w:lang w:val="en-US"/>
        </w:rPr>
      </w:pPr>
      <w:r w:rsidRPr="00224B56">
        <w:rPr>
          <w:lang w:val="en-US"/>
        </w:rPr>
        <w:lastRenderedPageBreak/>
        <w:t xml:space="preserve">Zhang, X., He, J., Zhang, J., </w:t>
      </w:r>
      <w:proofErr w:type="spellStart"/>
      <w:r w:rsidRPr="00224B56">
        <w:rPr>
          <w:lang w:val="en-US"/>
        </w:rPr>
        <w:t>Polyakov</w:t>
      </w:r>
      <w:proofErr w:type="spellEnd"/>
      <w:r w:rsidRPr="00224B56">
        <w:rPr>
          <w:lang w:val="en-US"/>
        </w:rPr>
        <w:t xml:space="preserve">, I., </w:t>
      </w:r>
      <w:proofErr w:type="spellStart"/>
      <w:r w:rsidRPr="00224B56">
        <w:rPr>
          <w:lang w:val="en-US"/>
        </w:rPr>
        <w:t>Gerdes</w:t>
      </w:r>
      <w:proofErr w:type="spellEnd"/>
      <w:r w:rsidRPr="00224B56">
        <w:rPr>
          <w:lang w:val="en-US"/>
        </w:rPr>
        <w:t xml:space="preserve">, R., Inoue, J., and Wu, P., 2012: Enhanced poleward moisture transport and amplified northern high-latitude wetting trend. Nature Climate Change, vol. 3, </w:t>
      </w:r>
      <w:proofErr w:type="spellStart"/>
      <w:r w:rsidRPr="00224B56">
        <w:rPr>
          <w:lang w:val="en-US"/>
        </w:rPr>
        <w:t>doi</w:t>
      </w:r>
      <w:proofErr w:type="spellEnd"/>
      <w:r w:rsidRPr="00224B56">
        <w:rPr>
          <w:lang w:val="en-US"/>
        </w:rPr>
        <w:t>: 10.1038/nclimate1631.</w:t>
      </w:r>
    </w:p>
    <w:p w:rsidR="00B342B0" w:rsidRPr="00B342B0" w:rsidRDefault="00B342B0" w:rsidP="00224B56">
      <w:pPr>
        <w:jc w:val="both"/>
        <w:rPr>
          <w:lang w:val="nb-NO"/>
        </w:rPr>
      </w:pPr>
    </w:p>
    <w:sectPr w:rsidR="00B342B0" w:rsidRPr="00B342B0">
      <w:pgSz w:w="11906" w:h="16838"/>
      <w:pgMar w:top="1701"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1304"/>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42B0"/>
    <w:rsid w:val="000A7881"/>
    <w:rsid w:val="001B729D"/>
    <w:rsid w:val="00216B68"/>
    <w:rsid w:val="00224B56"/>
    <w:rsid w:val="00243AB6"/>
    <w:rsid w:val="00302D78"/>
    <w:rsid w:val="004A5DA2"/>
    <w:rsid w:val="00771B1D"/>
    <w:rsid w:val="009E6A51"/>
    <w:rsid w:val="00B342B0"/>
    <w:rsid w:val="00DB5FCC"/>
    <w:rsid w:val="00E63D8F"/>
    <w:rsid w:val="00EF62E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34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42B0"/>
    <w:rPr>
      <w:rFonts w:ascii="Tahoma" w:hAnsi="Tahoma" w:cs="Tahoma"/>
      <w:sz w:val="16"/>
      <w:szCs w:val="16"/>
    </w:rPr>
  </w:style>
  <w:style w:type="character" w:styleId="Hyperlink">
    <w:name w:val="Hyperlink"/>
    <w:basedOn w:val="DefaultParagraphFont"/>
    <w:uiPriority w:val="99"/>
    <w:unhideWhenUsed/>
    <w:rsid w:val="00B342B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34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42B0"/>
    <w:rPr>
      <w:rFonts w:ascii="Tahoma" w:hAnsi="Tahoma" w:cs="Tahoma"/>
      <w:sz w:val="16"/>
      <w:szCs w:val="16"/>
    </w:rPr>
  </w:style>
  <w:style w:type="character" w:styleId="Hyperlink">
    <w:name w:val="Hyperlink"/>
    <w:basedOn w:val="DefaultParagraphFont"/>
    <w:uiPriority w:val="99"/>
    <w:unhideWhenUsed/>
    <w:rsid w:val="00B342B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gif"/><Relationship Id="rId26" Type="http://schemas.openxmlformats.org/officeDocument/2006/relationships/image" Target="media/image20.tiff"/><Relationship Id="rId39" Type="http://schemas.openxmlformats.org/officeDocument/2006/relationships/image" Target="media/image33.tiff"/><Relationship Id="rId3" Type="http://schemas.openxmlformats.org/officeDocument/2006/relationships/settings" Target="settings.xml"/><Relationship Id="rId21" Type="http://schemas.openxmlformats.org/officeDocument/2006/relationships/image" Target="media/image15.tiff"/><Relationship Id="rId34" Type="http://schemas.openxmlformats.org/officeDocument/2006/relationships/image" Target="media/image28.tiff"/><Relationship Id="rId42" Type="http://schemas.openxmlformats.org/officeDocument/2006/relationships/image" Target="media/image36.tiff"/><Relationship Id="rId7" Type="http://schemas.openxmlformats.org/officeDocument/2006/relationships/chart" Target="charts/chart1.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tiff"/><Relationship Id="rId33" Type="http://schemas.openxmlformats.org/officeDocument/2006/relationships/image" Target="media/image27.tiff"/><Relationship Id="rId38" Type="http://schemas.openxmlformats.org/officeDocument/2006/relationships/image" Target="media/image32.tiff"/><Relationship Id="rId2" Type="http://schemas.microsoft.com/office/2007/relationships/stylesWithEffects" Target="stylesWithEffects.xml"/><Relationship Id="rId16" Type="http://schemas.openxmlformats.org/officeDocument/2006/relationships/chart" Target="charts/chart2.xml"/><Relationship Id="rId20" Type="http://schemas.openxmlformats.org/officeDocument/2006/relationships/image" Target="media/image14.tiff"/><Relationship Id="rId29" Type="http://schemas.openxmlformats.org/officeDocument/2006/relationships/image" Target="media/image23.tiff"/><Relationship Id="rId41" Type="http://schemas.openxmlformats.org/officeDocument/2006/relationships/image" Target="media/image35.tiff"/><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8.tiff"/><Relationship Id="rId32" Type="http://schemas.openxmlformats.org/officeDocument/2006/relationships/image" Target="media/image26.tiff"/><Relationship Id="rId37" Type="http://schemas.openxmlformats.org/officeDocument/2006/relationships/image" Target="media/image31.tiff"/><Relationship Id="rId40" Type="http://schemas.openxmlformats.org/officeDocument/2006/relationships/image" Target="media/image34.tiff"/><Relationship Id="rId45"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tiff"/><Relationship Id="rId28" Type="http://schemas.openxmlformats.org/officeDocument/2006/relationships/image" Target="media/image22.tiff"/><Relationship Id="rId36" Type="http://schemas.openxmlformats.org/officeDocument/2006/relationships/image" Target="media/image30.tiff"/><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5.tiff"/><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tiff"/><Relationship Id="rId27" Type="http://schemas.openxmlformats.org/officeDocument/2006/relationships/image" Target="media/image21.tiff"/><Relationship Id="rId30" Type="http://schemas.openxmlformats.org/officeDocument/2006/relationships/image" Target="media/image24.tiff"/><Relationship Id="rId35" Type="http://schemas.openxmlformats.org/officeDocument/2006/relationships/image" Target="media/image29.tiff"/><Relationship Id="rId43" Type="http://schemas.openxmlformats.org/officeDocument/2006/relationships/image" Target="media/image37.tif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554516082365"/>
          <c:y val="0.12960679111898199"/>
          <c:w val="0.83725959661986404"/>
          <c:h val="0.70397003587402995"/>
        </c:manualLayout>
      </c:layout>
      <c:lineChart>
        <c:grouping val="standard"/>
        <c:varyColors val="0"/>
        <c:ser>
          <c:idx val="0"/>
          <c:order val="0"/>
          <c:tx>
            <c:v>STNS</c:v>
          </c:tx>
          <c:marker>
            <c:symbol val="none"/>
          </c:marker>
          <c:cat>
            <c:numRef>
              <c:f>'NOAA SCD'!$G$54:$G$116</c:f>
              <c:numCache>
                <c:formatCode>General</c:formatCode>
                <c:ptCount val="63"/>
                <c:pt idx="0">
                  <c:v>1950</c:v>
                </c:pt>
                <c:pt idx="1">
                  <c:v>1951</c:v>
                </c:pt>
                <c:pt idx="2">
                  <c:v>1952</c:v>
                </c:pt>
                <c:pt idx="3">
                  <c:v>1953</c:v>
                </c:pt>
                <c:pt idx="4">
                  <c:v>1954</c:v>
                </c:pt>
                <c:pt idx="5">
                  <c:v>1955</c:v>
                </c:pt>
                <c:pt idx="6">
                  <c:v>1956</c:v>
                </c:pt>
                <c:pt idx="7">
                  <c:v>1957</c:v>
                </c:pt>
                <c:pt idx="8">
                  <c:v>1958</c:v>
                </c:pt>
                <c:pt idx="9">
                  <c:v>1959</c:v>
                </c:pt>
                <c:pt idx="10">
                  <c:v>1960</c:v>
                </c:pt>
                <c:pt idx="11">
                  <c:v>1961</c:v>
                </c:pt>
                <c:pt idx="12">
                  <c:v>1962</c:v>
                </c:pt>
                <c:pt idx="13">
                  <c:v>1963</c:v>
                </c:pt>
                <c:pt idx="14">
                  <c:v>1964</c:v>
                </c:pt>
                <c:pt idx="15">
                  <c:v>1965</c:v>
                </c:pt>
                <c:pt idx="16">
                  <c:v>1966</c:v>
                </c:pt>
                <c:pt idx="17">
                  <c:v>1967</c:v>
                </c:pt>
                <c:pt idx="18">
                  <c:v>1968</c:v>
                </c:pt>
                <c:pt idx="19">
                  <c:v>1969</c:v>
                </c:pt>
                <c:pt idx="20">
                  <c:v>1970</c:v>
                </c:pt>
                <c:pt idx="21">
                  <c:v>1971</c:v>
                </c:pt>
                <c:pt idx="22">
                  <c:v>1972</c:v>
                </c:pt>
                <c:pt idx="23">
                  <c:v>1973</c:v>
                </c:pt>
                <c:pt idx="24">
                  <c:v>1974</c:v>
                </c:pt>
                <c:pt idx="25">
                  <c:v>1975</c:v>
                </c:pt>
                <c:pt idx="26">
                  <c:v>1976</c:v>
                </c:pt>
                <c:pt idx="27">
                  <c:v>1977</c:v>
                </c:pt>
                <c:pt idx="28">
                  <c:v>1978</c:v>
                </c:pt>
                <c:pt idx="29">
                  <c:v>1979</c:v>
                </c:pt>
                <c:pt idx="30">
                  <c:v>1980</c:v>
                </c:pt>
                <c:pt idx="31">
                  <c:v>1981</c:v>
                </c:pt>
                <c:pt idx="32">
                  <c:v>1982</c:v>
                </c:pt>
                <c:pt idx="33">
                  <c:v>1983</c:v>
                </c:pt>
                <c:pt idx="34">
                  <c:v>1984</c:v>
                </c:pt>
                <c:pt idx="35">
                  <c:v>1985</c:v>
                </c:pt>
                <c:pt idx="36">
                  <c:v>1986</c:v>
                </c:pt>
                <c:pt idx="37">
                  <c:v>1987</c:v>
                </c:pt>
                <c:pt idx="38">
                  <c:v>1988</c:v>
                </c:pt>
                <c:pt idx="39">
                  <c:v>1989</c:v>
                </c:pt>
                <c:pt idx="40">
                  <c:v>1990</c:v>
                </c:pt>
                <c:pt idx="41">
                  <c:v>1991</c:v>
                </c:pt>
                <c:pt idx="42">
                  <c:v>1992</c:v>
                </c:pt>
                <c:pt idx="43">
                  <c:v>1993</c:v>
                </c:pt>
                <c:pt idx="44">
                  <c:v>1994</c:v>
                </c:pt>
                <c:pt idx="45">
                  <c:v>1995</c:v>
                </c:pt>
                <c:pt idx="46">
                  <c:v>1996</c:v>
                </c:pt>
                <c:pt idx="47">
                  <c:v>1997</c:v>
                </c:pt>
                <c:pt idx="48">
                  <c:v>1998</c:v>
                </c:pt>
                <c:pt idx="49">
                  <c:v>1999</c:v>
                </c:pt>
                <c:pt idx="50">
                  <c:v>2000</c:v>
                </c:pt>
                <c:pt idx="51">
                  <c:v>2001</c:v>
                </c:pt>
                <c:pt idx="52">
                  <c:v>2002</c:v>
                </c:pt>
                <c:pt idx="53">
                  <c:v>2003</c:v>
                </c:pt>
                <c:pt idx="54">
                  <c:v>2004</c:v>
                </c:pt>
                <c:pt idx="55">
                  <c:v>2005</c:v>
                </c:pt>
                <c:pt idx="56">
                  <c:v>2006</c:v>
                </c:pt>
                <c:pt idx="57">
                  <c:v>2007</c:v>
                </c:pt>
                <c:pt idx="58">
                  <c:v>2008</c:v>
                </c:pt>
                <c:pt idx="59">
                  <c:v>2009</c:v>
                </c:pt>
                <c:pt idx="60">
                  <c:v>2010</c:v>
                </c:pt>
                <c:pt idx="61">
                  <c:v>2011</c:v>
                </c:pt>
                <c:pt idx="62">
                  <c:v>2012</c:v>
                </c:pt>
              </c:numCache>
            </c:numRef>
          </c:cat>
          <c:val>
            <c:numRef>
              <c:f>'NOAA SCD'!$J$54:$J$116</c:f>
              <c:numCache>
                <c:formatCode>General</c:formatCode>
                <c:ptCount val="63"/>
                <c:pt idx="0">
                  <c:v>22.358999999999991</c:v>
                </c:pt>
                <c:pt idx="1">
                  <c:v>7.4239999999999986</c:v>
                </c:pt>
                <c:pt idx="2">
                  <c:v>4.4250000000000007</c:v>
                </c:pt>
                <c:pt idx="3">
                  <c:v>16.591000000000001</c:v>
                </c:pt>
                <c:pt idx="4">
                  <c:v>0.42799999999999999</c:v>
                </c:pt>
                <c:pt idx="5">
                  <c:v>10.590999999999999</c:v>
                </c:pt>
                <c:pt idx="6">
                  <c:v>-0.90900000000000003</c:v>
                </c:pt>
                <c:pt idx="7">
                  <c:v>7.569</c:v>
                </c:pt>
                <c:pt idx="8">
                  <c:v>8.8550000000000004</c:v>
                </c:pt>
                <c:pt idx="9">
                  <c:v>9.9980000000000011</c:v>
                </c:pt>
                <c:pt idx="10">
                  <c:v>9.1409999999999982</c:v>
                </c:pt>
                <c:pt idx="11">
                  <c:v>14.141</c:v>
                </c:pt>
                <c:pt idx="12">
                  <c:v>26.568999999999999</c:v>
                </c:pt>
                <c:pt idx="13">
                  <c:v>18.646999999999991</c:v>
                </c:pt>
                <c:pt idx="14">
                  <c:v>5.8549999999999969</c:v>
                </c:pt>
                <c:pt idx="15">
                  <c:v>14.14</c:v>
                </c:pt>
                <c:pt idx="16">
                  <c:v>-0.14499999999999999</c:v>
                </c:pt>
                <c:pt idx="17">
                  <c:v>31.99799999999999</c:v>
                </c:pt>
                <c:pt idx="18">
                  <c:v>8.1409999999999982</c:v>
                </c:pt>
                <c:pt idx="19">
                  <c:v>6.8549999999999969</c:v>
                </c:pt>
                <c:pt idx="20">
                  <c:v>6.9219999999999997</c:v>
                </c:pt>
                <c:pt idx="21">
                  <c:v>21.283999999999999</c:v>
                </c:pt>
                <c:pt idx="22">
                  <c:v>17.283999999999999</c:v>
                </c:pt>
                <c:pt idx="23">
                  <c:v>-1.867</c:v>
                </c:pt>
                <c:pt idx="24">
                  <c:v>3.2829999999999999</c:v>
                </c:pt>
                <c:pt idx="25">
                  <c:v>25.55899999999999</c:v>
                </c:pt>
                <c:pt idx="26">
                  <c:v>18.707000000000001</c:v>
                </c:pt>
                <c:pt idx="27">
                  <c:v>24.492000000000001</c:v>
                </c:pt>
                <c:pt idx="28">
                  <c:v>14.069000000000001</c:v>
                </c:pt>
                <c:pt idx="29">
                  <c:v>11.433</c:v>
                </c:pt>
                <c:pt idx="30">
                  <c:v>2.9239999999999999</c:v>
                </c:pt>
                <c:pt idx="31">
                  <c:v>2.895999999999999</c:v>
                </c:pt>
                <c:pt idx="32">
                  <c:v>13.013999999999999</c:v>
                </c:pt>
                <c:pt idx="33">
                  <c:v>-2.82</c:v>
                </c:pt>
                <c:pt idx="34">
                  <c:v>4.6289999999999969</c:v>
                </c:pt>
                <c:pt idx="35">
                  <c:v>6.5279999999999969</c:v>
                </c:pt>
                <c:pt idx="36">
                  <c:v>17.916</c:v>
                </c:pt>
                <c:pt idx="37">
                  <c:v>3.6680000000000001</c:v>
                </c:pt>
                <c:pt idx="38">
                  <c:v>-0.64500000000000002</c:v>
                </c:pt>
                <c:pt idx="39">
                  <c:v>7.6819999999999986</c:v>
                </c:pt>
                <c:pt idx="40">
                  <c:v>-2.089</c:v>
                </c:pt>
                <c:pt idx="41">
                  <c:v>21.146999999999991</c:v>
                </c:pt>
                <c:pt idx="42">
                  <c:v>-3.488</c:v>
                </c:pt>
                <c:pt idx="43">
                  <c:v>-3.097</c:v>
                </c:pt>
                <c:pt idx="44">
                  <c:v>-8.104000000000001</c:v>
                </c:pt>
                <c:pt idx="45">
                  <c:v>8.65</c:v>
                </c:pt>
                <c:pt idx="46">
                  <c:v>-8.6300000000000008</c:v>
                </c:pt>
                <c:pt idx="47">
                  <c:v>-9.7690000000000001</c:v>
                </c:pt>
                <c:pt idx="48">
                  <c:v>-7.9479999999999986</c:v>
                </c:pt>
                <c:pt idx="49">
                  <c:v>-16.324999999999999</c:v>
                </c:pt>
                <c:pt idx="50">
                  <c:v>-9.6439999999999984</c:v>
                </c:pt>
                <c:pt idx="51">
                  <c:v>-6.8039999999999976</c:v>
                </c:pt>
                <c:pt idx="52">
                  <c:v>-5.0999999999999996</c:v>
                </c:pt>
                <c:pt idx="53">
                  <c:v>4.2309999999999999</c:v>
                </c:pt>
                <c:pt idx="54">
                  <c:v>12.202999999999999</c:v>
                </c:pt>
                <c:pt idx="55">
                  <c:v>-4.6229999999999958</c:v>
                </c:pt>
                <c:pt idx="56">
                  <c:v>-13.680999999999999</c:v>
                </c:pt>
                <c:pt idx="57">
                  <c:v>-1.667</c:v>
                </c:pt>
                <c:pt idx="58">
                  <c:v>-14.611000000000001</c:v>
                </c:pt>
                <c:pt idx="59">
                  <c:v>-4.7530000000000001</c:v>
                </c:pt>
                <c:pt idx="60">
                  <c:v>-1.1339999999999999</c:v>
                </c:pt>
                <c:pt idx="61">
                  <c:v>2.8660000000000001</c:v>
                </c:pt>
              </c:numCache>
            </c:numRef>
          </c:val>
          <c:smooth val="0"/>
        </c:ser>
        <c:ser>
          <c:idx val="1"/>
          <c:order val="1"/>
          <c:tx>
            <c:v>NOAA-CDR</c:v>
          </c:tx>
          <c:marker>
            <c:symbol val="none"/>
          </c:marker>
          <c:cat>
            <c:numRef>
              <c:f>'NOAA SCD'!$G$54:$G$116</c:f>
              <c:numCache>
                <c:formatCode>General</c:formatCode>
                <c:ptCount val="63"/>
                <c:pt idx="0">
                  <c:v>1950</c:v>
                </c:pt>
                <c:pt idx="1">
                  <c:v>1951</c:v>
                </c:pt>
                <c:pt idx="2">
                  <c:v>1952</c:v>
                </c:pt>
                <c:pt idx="3">
                  <c:v>1953</c:v>
                </c:pt>
                <c:pt idx="4">
                  <c:v>1954</c:v>
                </c:pt>
                <c:pt idx="5">
                  <c:v>1955</c:v>
                </c:pt>
                <c:pt idx="6">
                  <c:v>1956</c:v>
                </c:pt>
                <c:pt idx="7">
                  <c:v>1957</c:v>
                </c:pt>
                <c:pt idx="8">
                  <c:v>1958</c:v>
                </c:pt>
                <c:pt idx="9">
                  <c:v>1959</c:v>
                </c:pt>
                <c:pt idx="10">
                  <c:v>1960</c:v>
                </c:pt>
                <c:pt idx="11">
                  <c:v>1961</c:v>
                </c:pt>
                <c:pt idx="12">
                  <c:v>1962</c:v>
                </c:pt>
                <c:pt idx="13">
                  <c:v>1963</c:v>
                </c:pt>
                <c:pt idx="14">
                  <c:v>1964</c:v>
                </c:pt>
                <c:pt idx="15">
                  <c:v>1965</c:v>
                </c:pt>
                <c:pt idx="16">
                  <c:v>1966</c:v>
                </c:pt>
                <c:pt idx="17">
                  <c:v>1967</c:v>
                </c:pt>
                <c:pt idx="18">
                  <c:v>1968</c:v>
                </c:pt>
                <c:pt idx="19">
                  <c:v>1969</c:v>
                </c:pt>
                <c:pt idx="20">
                  <c:v>1970</c:v>
                </c:pt>
                <c:pt idx="21">
                  <c:v>1971</c:v>
                </c:pt>
                <c:pt idx="22">
                  <c:v>1972</c:v>
                </c:pt>
                <c:pt idx="23">
                  <c:v>1973</c:v>
                </c:pt>
                <c:pt idx="24">
                  <c:v>1974</c:v>
                </c:pt>
                <c:pt idx="25">
                  <c:v>1975</c:v>
                </c:pt>
                <c:pt idx="26">
                  <c:v>1976</c:v>
                </c:pt>
                <c:pt idx="27">
                  <c:v>1977</c:v>
                </c:pt>
                <c:pt idx="28">
                  <c:v>1978</c:v>
                </c:pt>
                <c:pt idx="29">
                  <c:v>1979</c:v>
                </c:pt>
                <c:pt idx="30">
                  <c:v>1980</c:v>
                </c:pt>
                <c:pt idx="31">
                  <c:v>1981</c:v>
                </c:pt>
                <c:pt idx="32">
                  <c:v>1982</c:v>
                </c:pt>
                <c:pt idx="33">
                  <c:v>1983</c:v>
                </c:pt>
                <c:pt idx="34">
                  <c:v>1984</c:v>
                </c:pt>
                <c:pt idx="35">
                  <c:v>1985</c:v>
                </c:pt>
                <c:pt idx="36">
                  <c:v>1986</c:v>
                </c:pt>
                <c:pt idx="37">
                  <c:v>1987</c:v>
                </c:pt>
                <c:pt idx="38">
                  <c:v>1988</c:v>
                </c:pt>
                <c:pt idx="39">
                  <c:v>1989</c:v>
                </c:pt>
                <c:pt idx="40">
                  <c:v>1990</c:v>
                </c:pt>
                <c:pt idx="41">
                  <c:v>1991</c:v>
                </c:pt>
                <c:pt idx="42">
                  <c:v>1992</c:v>
                </c:pt>
                <c:pt idx="43">
                  <c:v>1993</c:v>
                </c:pt>
                <c:pt idx="44">
                  <c:v>1994</c:v>
                </c:pt>
                <c:pt idx="45">
                  <c:v>1995</c:v>
                </c:pt>
                <c:pt idx="46">
                  <c:v>1996</c:v>
                </c:pt>
                <c:pt idx="47">
                  <c:v>1997</c:v>
                </c:pt>
                <c:pt idx="48">
                  <c:v>1998</c:v>
                </c:pt>
                <c:pt idx="49">
                  <c:v>1999</c:v>
                </c:pt>
                <c:pt idx="50">
                  <c:v>2000</c:v>
                </c:pt>
                <c:pt idx="51">
                  <c:v>2001</c:v>
                </c:pt>
                <c:pt idx="52">
                  <c:v>2002</c:v>
                </c:pt>
                <c:pt idx="53">
                  <c:v>2003</c:v>
                </c:pt>
                <c:pt idx="54">
                  <c:v>2004</c:v>
                </c:pt>
                <c:pt idx="55">
                  <c:v>2005</c:v>
                </c:pt>
                <c:pt idx="56">
                  <c:v>2006</c:v>
                </c:pt>
                <c:pt idx="57">
                  <c:v>2007</c:v>
                </c:pt>
                <c:pt idx="58">
                  <c:v>2008</c:v>
                </c:pt>
                <c:pt idx="59">
                  <c:v>2009</c:v>
                </c:pt>
                <c:pt idx="60">
                  <c:v>2010</c:v>
                </c:pt>
                <c:pt idx="61">
                  <c:v>2011</c:v>
                </c:pt>
                <c:pt idx="62">
                  <c:v>2012</c:v>
                </c:pt>
              </c:numCache>
            </c:numRef>
          </c:cat>
          <c:val>
            <c:numRef>
              <c:f>'NOAA SCD'!$M$54:$M$116</c:f>
              <c:numCache>
                <c:formatCode>General</c:formatCode>
                <c:ptCount val="63"/>
                <c:pt idx="22">
                  <c:v>22.100999999999999</c:v>
                </c:pt>
                <c:pt idx="23">
                  <c:v>5.8160000000000007</c:v>
                </c:pt>
                <c:pt idx="24">
                  <c:v>-7.3559999999999972</c:v>
                </c:pt>
                <c:pt idx="25">
                  <c:v>12.53</c:v>
                </c:pt>
                <c:pt idx="26">
                  <c:v>18.387</c:v>
                </c:pt>
                <c:pt idx="27">
                  <c:v>28.901</c:v>
                </c:pt>
                <c:pt idx="28">
                  <c:v>43.844000000000001</c:v>
                </c:pt>
                <c:pt idx="29">
                  <c:v>24.901</c:v>
                </c:pt>
                <c:pt idx="30">
                  <c:v>19.585999999999981</c:v>
                </c:pt>
                <c:pt idx="31">
                  <c:v>1.5860000000000001</c:v>
                </c:pt>
                <c:pt idx="32">
                  <c:v>4.3010000000000002</c:v>
                </c:pt>
                <c:pt idx="33">
                  <c:v>-9.984</c:v>
                </c:pt>
                <c:pt idx="34">
                  <c:v>3.2150000000000012</c:v>
                </c:pt>
                <c:pt idx="35">
                  <c:v>8.8150000000000048</c:v>
                </c:pt>
                <c:pt idx="36">
                  <c:v>23.500999999999991</c:v>
                </c:pt>
                <c:pt idx="37">
                  <c:v>-8.4130000000000003</c:v>
                </c:pt>
                <c:pt idx="38">
                  <c:v>-15.928000000000001</c:v>
                </c:pt>
                <c:pt idx="39">
                  <c:v>-2.7850000000000001</c:v>
                </c:pt>
                <c:pt idx="40">
                  <c:v>-5.2709999999999999</c:v>
                </c:pt>
                <c:pt idx="41">
                  <c:v>9.2150000000000016</c:v>
                </c:pt>
                <c:pt idx="42">
                  <c:v>-11.727</c:v>
                </c:pt>
                <c:pt idx="43">
                  <c:v>-7.9559999999999986</c:v>
                </c:pt>
                <c:pt idx="44">
                  <c:v>-5.4990000000000014</c:v>
                </c:pt>
                <c:pt idx="45">
                  <c:v>10.500999999999999</c:v>
                </c:pt>
                <c:pt idx="46">
                  <c:v>-3.4990000000000001</c:v>
                </c:pt>
                <c:pt idx="47">
                  <c:v>2.129</c:v>
                </c:pt>
                <c:pt idx="48">
                  <c:v>-3.9559999999999991</c:v>
                </c:pt>
                <c:pt idx="49">
                  <c:v>2.2719999999999998</c:v>
                </c:pt>
                <c:pt idx="50">
                  <c:v>6.9580000000000002</c:v>
                </c:pt>
                <c:pt idx="51">
                  <c:v>6.7869999999999999</c:v>
                </c:pt>
                <c:pt idx="52">
                  <c:v>3.6429999999999998</c:v>
                </c:pt>
                <c:pt idx="53">
                  <c:v>9.9290000000000003</c:v>
                </c:pt>
                <c:pt idx="54">
                  <c:v>6.3290000000000006</c:v>
                </c:pt>
                <c:pt idx="55">
                  <c:v>11.929</c:v>
                </c:pt>
                <c:pt idx="56">
                  <c:v>-5.9560000000000004</c:v>
                </c:pt>
                <c:pt idx="57">
                  <c:v>-8.0130000000000035</c:v>
                </c:pt>
                <c:pt idx="58">
                  <c:v>0.38700000000000001</c:v>
                </c:pt>
                <c:pt idx="59">
                  <c:v>-8.6130000000000013</c:v>
                </c:pt>
                <c:pt idx="60">
                  <c:v>-13.898999999999999</c:v>
                </c:pt>
                <c:pt idx="61">
                  <c:v>-16.128</c:v>
                </c:pt>
                <c:pt idx="62">
                  <c:v>-3.9849999999999999</c:v>
                </c:pt>
              </c:numCache>
            </c:numRef>
          </c:val>
          <c:smooth val="0"/>
        </c:ser>
        <c:dLbls>
          <c:showLegendKey val="0"/>
          <c:showVal val="0"/>
          <c:showCatName val="0"/>
          <c:showSerName val="0"/>
          <c:showPercent val="0"/>
          <c:showBubbleSize val="0"/>
        </c:dLbls>
        <c:marker val="1"/>
        <c:smooth val="0"/>
        <c:axId val="269018624"/>
        <c:axId val="269020544"/>
      </c:lineChart>
      <c:catAx>
        <c:axId val="269018624"/>
        <c:scaling>
          <c:orientation val="minMax"/>
        </c:scaling>
        <c:delete val="0"/>
        <c:axPos val="b"/>
        <c:numFmt formatCode="General" sourceLinked="1"/>
        <c:majorTickMark val="out"/>
        <c:minorTickMark val="none"/>
        <c:tickLblPos val="nextTo"/>
        <c:crossAx val="269020544"/>
        <c:crossesAt val="-20"/>
        <c:auto val="1"/>
        <c:lblAlgn val="ctr"/>
        <c:lblOffset val="100"/>
        <c:tickLblSkip val="5"/>
        <c:noMultiLvlLbl val="0"/>
      </c:catAx>
      <c:valAx>
        <c:axId val="269020544"/>
        <c:scaling>
          <c:orientation val="minMax"/>
        </c:scaling>
        <c:delete val="0"/>
        <c:axPos val="l"/>
        <c:majorGridlines/>
        <c:numFmt formatCode="General" sourceLinked="1"/>
        <c:majorTickMark val="out"/>
        <c:minorTickMark val="none"/>
        <c:tickLblPos val="nextTo"/>
        <c:crossAx val="269018624"/>
        <c:crosses val="autoZero"/>
        <c:crossBetween val="between"/>
      </c:valAx>
      <c:spPr>
        <a:ln>
          <a:solidFill>
            <a:schemeClr val="tx1"/>
          </a:solidFill>
        </a:ln>
      </c:spPr>
    </c:plotArea>
    <c:legend>
      <c:legendPos val="r"/>
      <c:layout>
        <c:manualLayout>
          <c:xMode val="edge"/>
          <c:yMode val="edge"/>
          <c:x val="0.700012340003769"/>
          <c:y val="0.157621794955116"/>
          <c:w val="0.19574552261849601"/>
          <c:h val="0.14520408844476801"/>
        </c:manualLayout>
      </c:layout>
      <c:overlay val="0"/>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13034410844601"/>
          <c:y val="0.21220200377026399"/>
          <c:w val="0.84671532846715303"/>
          <c:h val="0.55968278494407098"/>
        </c:manualLayout>
      </c:layout>
      <c:scatterChart>
        <c:scatterStyle val="lineMarker"/>
        <c:varyColors val="0"/>
        <c:ser>
          <c:idx val="0"/>
          <c:order val="0"/>
          <c:spPr>
            <a:ln w="12700">
              <a:solidFill>
                <a:srgbClr val="000080"/>
              </a:solidFill>
              <a:prstDash val="solid"/>
            </a:ln>
          </c:spPr>
          <c:marker>
            <c:symbol val="none"/>
          </c:marker>
          <c:xVal>
            <c:numRef>
              <c:f>'Total F'!$Q$75:$Q$230</c:f>
              <c:numCache>
                <c:formatCode>0.00</c:formatCode>
                <c:ptCount val="156"/>
                <c:pt idx="0">
                  <c:v>1998.625</c:v>
                </c:pt>
                <c:pt idx="1">
                  <c:v>1998.708333333333</c:v>
                </c:pt>
                <c:pt idx="2">
                  <c:v>1998.791666666667</c:v>
                </c:pt>
                <c:pt idx="3">
                  <c:v>1998.875</c:v>
                </c:pt>
                <c:pt idx="4">
                  <c:v>1998.958333333333</c:v>
                </c:pt>
                <c:pt idx="5">
                  <c:v>1999.041666666667</c:v>
                </c:pt>
                <c:pt idx="6">
                  <c:v>1999.125</c:v>
                </c:pt>
                <c:pt idx="7">
                  <c:v>1999.208333333333</c:v>
                </c:pt>
                <c:pt idx="8">
                  <c:v>1999.291666666667</c:v>
                </c:pt>
                <c:pt idx="9">
                  <c:v>1999.375</c:v>
                </c:pt>
                <c:pt idx="10">
                  <c:v>1999.458333333333</c:v>
                </c:pt>
                <c:pt idx="11">
                  <c:v>1999.541666666667</c:v>
                </c:pt>
                <c:pt idx="12">
                  <c:v>1999.625</c:v>
                </c:pt>
                <c:pt idx="13">
                  <c:v>1999.708333333333</c:v>
                </c:pt>
                <c:pt idx="14">
                  <c:v>1999.791666666667</c:v>
                </c:pt>
                <c:pt idx="15">
                  <c:v>1999.875</c:v>
                </c:pt>
                <c:pt idx="16">
                  <c:v>1999.958333333333</c:v>
                </c:pt>
                <c:pt idx="17">
                  <c:v>2000.041666666667</c:v>
                </c:pt>
                <c:pt idx="18">
                  <c:v>2000.125</c:v>
                </c:pt>
                <c:pt idx="19">
                  <c:v>2000.208333333333</c:v>
                </c:pt>
                <c:pt idx="20">
                  <c:v>2000.291666666667</c:v>
                </c:pt>
                <c:pt idx="21">
                  <c:v>2000.375</c:v>
                </c:pt>
                <c:pt idx="22">
                  <c:v>2000.458333333333</c:v>
                </c:pt>
                <c:pt idx="23">
                  <c:v>2000.541666666667</c:v>
                </c:pt>
                <c:pt idx="24">
                  <c:v>2000.625</c:v>
                </c:pt>
                <c:pt idx="25">
                  <c:v>2000.708333333333</c:v>
                </c:pt>
                <c:pt idx="26">
                  <c:v>2000.791666666667</c:v>
                </c:pt>
                <c:pt idx="27">
                  <c:v>2000.875</c:v>
                </c:pt>
                <c:pt idx="28">
                  <c:v>2000.958333333333</c:v>
                </c:pt>
                <c:pt idx="29">
                  <c:v>2001.041666666667</c:v>
                </c:pt>
                <c:pt idx="30">
                  <c:v>2001.125</c:v>
                </c:pt>
                <c:pt idx="31">
                  <c:v>2001.208333333333</c:v>
                </c:pt>
                <c:pt idx="32">
                  <c:v>2001.291666666667</c:v>
                </c:pt>
                <c:pt idx="33">
                  <c:v>2001.375</c:v>
                </c:pt>
                <c:pt idx="34">
                  <c:v>2001.458333333333</c:v>
                </c:pt>
                <c:pt idx="35">
                  <c:v>2001.541666666667</c:v>
                </c:pt>
                <c:pt idx="36">
                  <c:v>2001.625</c:v>
                </c:pt>
                <c:pt idx="37">
                  <c:v>2001.708333333333</c:v>
                </c:pt>
                <c:pt idx="38">
                  <c:v>2001.791666666667</c:v>
                </c:pt>
                <c:pt idx="39">
                  <c:v>2001.875</c:v>
                </c:pt>
                <c:pt idx="40">
                  <c:v>2001.958333333333</c:v>
                </c:pt>
                <c:pt idx="41">
                  <c:v>2002.041666666667</c:v>
                </c:pt>
                <c:pt idx="42">
                  <c:v>2002.125</c:v>
                </c:pt>
                <c:pt idx="43">
                  <c:v>2002.208333333333</c:v>
                </c:pt>
                <c:pt idx="44">
                  <c:v>2002.291666666667</c:v>
                </c:pt>
                <c:pt idx="45">
                  <c:v>2002.375</c:v>
                </c:pt>
                <c:pt idx="46">
                  <c:v>2002.458333333333</c:v>
                </c:pt>
                <c:pt idx="47">
                  <c:v>2002.541666666667</c:v>
                </c:pt>
                <c:pt idx="48">
                  <c:v>2002.625</c:v>
                </c:pt>
                <c:pt idx="49">
                  <c:v>2002.708333333333</c:v>
                </c:pt>
                <c:pt idx="50">
                  <c:v>2002.791666666667</c:v>
                </c:pt>
                <c:pt idx="51">
                  <c:v>2002.875</c:v>
                </c:pt>
                <c:pt idx="52">
                  <c:v>2002.958333333333</c:v>
                </c:pt>
                <c:pt idx="53">
                  <c:v>2003.041666666667</c:v>
                </c:pt>
                <c:pt idx="54">
                  <c:v>2003.125</c:v>
                </c:pt>
                <c:pt idx="55">
                  <c:v>2003.208333333333</c:v>
                </c:pt>
                <c:pt idx="56">
                  <c:v>2003.291666666667</c:v>
                </c:pt>
                <c:pt idx="57">
                  <c:v>2003.375</c:v>
                </c:pt>
                <c:pt idx="58">
                  <c:v>2003.458333333333</c:v>
                </c:pt>
                <c:pt idx="59">
                  <c:v>2003.541666666667</c:v>
                </c:pt>
                <c:pt idx="60">
                  <c:v>2003.625</c:v>
                </c:pt>
                <c:pt idx="61">
                  <c:v>2003.708333333333</c:v>
                </c:pt>
                <c:pt idx="62">
                  <c:v>2003.791666666667</c:v>
                </c:pt>
                <c:pt idx="63">
                  <c:v>2003.875</c:v>
                </c:pt>
                <c:pt idx="64">
                  <c:v>2003.958333333333</c:v>
                </c:pt>
                <c:pt idx="65">
                  <c:v>2004.041666666667</c:v>
                </c:pt>
                <c:pt idx="66">
                  <c:v>2004.125</c:v>
                </c:pt>
                <c:pt idx="67">
                  <c:v>2004.208333333333</c:v>
                </c:pt>
                <c:pt idx="68">
                  <c:v>2004.291666666667</c:v>
                </c:pt>
                <c:pt idx="69">
                  <c:v>2004.375</c:v>
                </c:pt>
                <c:pt idx="70">
                  <c:v>2004.458333333333</c:v>
                </c:pt>
                <c:pt idx="71">
                  <c:v>2004.541666666667</c:v>
                </c:pt>
                <c:pt idx="72">
                  <c:v>2004.625</c:v>
                </c:pt>
                <c:pt idx="73">
                  <c:v>2004.708333333333</c:v>
                </c:pt>
                <c:pt idx="74">
                  <c:v>2004.791666666667</c:v>
                </c:pt>
                <c:pt idx="75">
                  <c:v>2004.875</c:v>
                </c:pt>
                <c:pt idx="76">
                  <c:v>2004.958333333333</c:v>
                </c:pt>
                <c:pt idx="77">
                  <c:v>2005.041666666667</c:v>
                </c:pt>
                <c:pt idx="78">
                  <c:v>2005.125</c:v>
                </c:pt>
                <c:pt idx="79">
                  <c:v>2005.208333333333</c:v>
                </c:pt>
                <c:pt idx="80">
                  <c:v>2005.291666666667</c:v>
                </c:pt>
                <c:pt idx="81">
                  <c:v>2005.375</c:v>
                </c:pt>
                <c:pt idx="82">
                  <c:v>2005.458333333333</c:v>
                </c:pt>
                <c:pt idx="83">
                  <c:v>2005.541666666667</c:v>
                </c:pt>
                <c:pt idx="84">
                  <c:v>2005.625</c:v>
                </c:pt>
                <c:pt idx="85">
                  <c:v>2005.708333333333</c:v>
                </c:pt>
                <c:pt idx="86">
                  <c:v>2005.791666666667</c:v>
                </c:pt>
                <c:pt idx="87">
                  <c:v>2005.875</c:v>
                </c:pt>
                <c:pt idx="88">
                  <c:v>2005.958333333333</c:v>
                </c:pt>
                <c:pt idx="89">
                  <c:v>2006.041666666667</c:v>
                </c:pt>
                <c:pt idx="90">
                  <c:v>2006.125</c:v>
                </c:pt>
                <c:pt idx="91">
                  <c:v>2006.208333333333</c:v>
                </c:pt>
                <c:pt idx="92">
                  <c:v>2006.291666666667</c:v>
                </c:pt>
                <c:pt idx="93">
                  <c:v>2006.375</c:v>
                </c:pt>
                <c:pt idx="94">
                  <c:v>2006.458333333333</c:v>
                </c:pt>
                <c:pt idx="95">
                  <c:v>2006.541666666667</c:v>
                </c:pt>
                <c:pt idx="96">
                  <c:v>2006.625</c:v>
                </c:pt>
                <c:pt idx="97">
                  <c:v>2006.708333333333</c:v>
                </c:pt>
                <c:pt idx="98">
                  <c:v>2006.791666666667</c:v>
                </c:pt>
                <c:pt idx="99">
                  <c:v>2006.875</c:v>
                </c:pt>
                <c:pt idx="100">
                  <c:v>2006.958333333333</c:v>
                </c:pt>
                <c:pt idx="101">
                  <c:v>2007.041666666667</c:v>
                </c:pt>
                <c:pt idx="102">
                  <c:v>2007.125</c:v>
                </c:pt>
                <c:pt idx="103">
                  <c:v>2007.208333333333</c:v>
                </c:pt>
                <c:pt idx="104">
                  <c:v>2007.291666666667</c:v>
                </c:pt>
                <c:pt idx="105">
                  <c:v>2007.375</c:v>
                </c:pt>
                <c:pt idx="106">
                  <c:v>2007.458333333333</c:v>
                </c:pt>
                <c:pt idx="107">
                  <c:v>2007.541666666667</c:v>
                </c:pt>
                <c:pt idx="108">
                  <c:v>2007.625</c:v>
                </c:pt>
                <c:pt idx="109">
                  <c:v>2007.708333333333</c:v>
                </c:pt>
                <c:pt idx="110">
                  <c:v>2007.791666666667</c:v>
                </c:pt>
                <c:pt idx="111">
                  <c:v>2007.875</c:v>
                </c:pt>
                <c:pt idx="112">
                  <c:v>2007.958333333333</c:v>
                </c:pt>
                <c:pt idx="113">
                  <c:v>2008.041666666667</c:v>
                </c:pt>
                <c:pt idx="114">
                  <c:v>2008.125</c:v>
                </c:pt>
                <c:pt idx="115">
                  <c:v>2008.208333333333</c:v>
                </c:pt>
                <c:pt idx="116">
                  <c:v>2008.291666666667</c:v>
                </c:pt>
                <c:pt idx="117">
                  <c:v>2008.375</c:v>
                </c:pt>
                <c:pt idx="118">
                  <c:v>2008.458333333333</c:v>
                </c:pt>
                <c:pt idx="119">
                  <c:v>2008.541666666667</c:v>
                </c:pt>
                <c:pt idx="120">
                  <c:v>2008.625</c:v>
                </c:pt>
                <c:pt idx="121">
                  <c:v>2008.708333333333</c:v>
                </c:pt>
                <c:pt idx="122">
                  <c:v>2008.791666666667</c:v>
                </c:pt>
                <c:pt idx="123">
                  <c:v>2008.875</c:v>
                </c:pt>
                <c:pt idx="124">
                  <c:v>2008.958333333333</c:v>
                </c:pt>
                <c:pt idx="125">
                  <c:v>2009.041666666667</c:v>
                </c:pt>
                <c:pt idx="126">
                  <c:v>2009.125</c:v>
                </c:pt>
                <c:pt idx="127">
                  <c:v>2009.208333333333</c:v>
                </c:pt>
                <c:pt idx="128">
                  <c:v>2009.291666666667</c:v>
                </c:pt>
                <c:pt idx="129">
                  <c:v>2009.375</c:v>
                </c:pt>
                <c:pt idx="130">
                  <c:v>2009.458333333333</c:v>
                </c:pt>
                <c:pt idx="131">
                  <c:v>2009.541666666667</c:v>
                </c:pt>
                <c:pt idx="132">
                  <c:v>2009.625</c:v>
                </c:pt>
                <c:pt idx="133">
                  <c:v>2009.708333333333</c:v>
                </c:pt>
                <c:pt idx="134">
                  <c:v>2009.791666666667</c:v>
                </c:pt>
                <c:pt idx="135">
                  <c:v>2009.875</c:v>
                </c:pt>
                <c:pt idx="136">
                  <c:v>2009.958333333333</c:v>
                </c:pt>
                <c:pt idx="137">
                  <c:v>2010.041666666667</c:v>
                </c:pt>
                <c:pt idx="138">
                  <c:v>2010.125</c:v>
                </c:pt>
                <c:pt idx="139">
                  <c:v>2010.208333333333</c:v>
                </c:pt>
                <c:pt idx="140">
                  <c:v>2010.291666666667</c:v>
                </c:pt>
                <c:pt idx="141">
                  <c:v>2010.375</c:v>
                </c:pt>
                <c:pt idx="142">
                  <c:v>2010.458333333333</c:v>
                </c:pt>
                <c:pt idx="143">
                  <c:v>2010.541666666667</c:v>
                </c:pt>
                <c:pt idx="144">
                  <c:v>2010.625</c:v>
                </c:pt>
                <c:pt idx="145">
                  <c:v>2010.708333333333</c:v>
                </c:pt>
                <c:pt idx="146">
                  <c:v>2010.791666666667</c:v>
                </c:pt>
                <c:pt idx="147">
                  <c:v>2010.875</c:v>
                </c:pt>
                <c:pt idx="148">
                  <c:v>2010.958333333333</c:v>
                </c:pt>
                <c:pt idx="149">
                  <c:v>2011.041666666667</c:v>
                </c:pt>
                <c:pt idx="150">
                  <c:v>2011.125</c:v>
                </c:pt>
                <c:pt idx="151">
                  <c:v>2011.208333333333</c:v>
                </c:pt>
                <c:pt idx="152">
                  <c:v>2011.291666666667</c:v>
                </c:pt>
                <c:pt idx="153">
                  <c:v>2011.375</c:v>
                </c:pt>
                <c:pt idx="154">
                  <c:v>2011.458333333333</c:v>
                </c:pt>
                <c:pt idx="155">
                  <c:v>2011.541666666667</c:v>
                </c:pt>
              </c:numCache>
            </c:numRef>
          </c:xVal>
          <c:yVal>
            <c:numRef>
              <c:f>'Total F'!$P$75:$P$230</c:f>
              <c:numCache>
                <c:formatCode>0.00000E+00</c:formatCode>
                <c:ptCount val="156"/>
                <c:pt idx="0">
                  <c:v>73142.531666666662</c:v>
                </c:pt>
                <c:pt idx="1">
                  <c:v>-7915.5012500000003</c:v>
                </c:pt>
                <c:pt idx="2">
                  <c:v>17849.83475806451</c:v>
                </c:pt>
                <c:pt idx="3">
                  <c:v>1915.4044166666681</c:v>
                </c:pt>
                <c:pt idx="4">
                  <c:v>-1131.8502419354911</c:v>
                </c:pt>
                <c:pt idx="5">
                  <c:v>22274.662177419352</c:v>
                </c:pt>
                <c:pt idx="6">
                  <c:v>-2250.0439285714301</c:v>
                </c:pt>
                <c:pt idx="7">
                  <c:v>4750.9024999999947</c:v>
                </c:pt>
                <c:pt idx="8">
                  <c:v>13070.55866666666</c:v>
                </c:pt>
                <c:pt idx="9">
                  <c:v>22873.00225806452</c:v>
                </c:pt>
                <c:pt idx="10">
                  <c:v>35982.149749999997</c:v>
                </c:pt>
                <c:pt idx="11">
                  <c:v>40467.474516129041</c:v>
                </c:pt>
                <c:pt idx="12">
                  <c:v>26327.544177215179</c:v>
                </c:pt>
                <c:pt idx="13">
                  <c:v>77337.757416666631</c:v>
                </c:pt>
                <c:pt idx="14">
                  <c:v>30135.65516129032</c:v>
                </c:pt>
                <c:pt idx="15">
                  <c:v>26782.789749999989</c:v>
                </c:pt>
                <c:pt idx="16">
                  <c:v>-2202.6349193548372</c:v>
                </c:pt>
                <c:pt idx="17">
                  <c:v>21964.259112903241</c:v>
                </c:pt>
                <c:pt idx="18">
                  <c:v>47749.92775862063</c:v>
                </c:pt>
                <c:pt idx="19">
                  <c:v>19022.47112903227</c:v>
                </c:pt>
                <c:pt idx="20">
                  <c:v>15247.91375</c:v>
                </c:pt>
                <c:pt idx="21">
                  <c:v>54893.324032258082</c:v>
                </c:pt>
                <c:pt idx="22">
                  <c:v>60916.598666666643</c:v>
                </c:pt>
                <c:pt idx="23">
                  <c:v>88859.581048387074</c:v>
                </c:pt>
                <c:pt idx="24">
                  <c:v>80729.522077921996</c:v>
                </c:pt>
                <c:pt idx="25">
                  <c:v>87170.13</c:v>
                </c:pt>
                <c:pt idx="26">
                  <c:v>57344.865322580597</c:v>
                </c:pt>
                <c:pt idx="27">
                  <c:v>27600.789749999989</c:v>
                </c:pt>
                <c:pt idx="28">
                  <c:v>24902.154274193541</c:v>
                </c:pt>
                <c:pt idx="29">
                  <c:v>29552.576451612898</c:v>
                </c:pt>
                <c:pt idx="30">
                  <c:v>45313.976875</c:v>
                </c:pt>
                <c:pt idx="31">
                  <c:v>23443.629435483879</c:v>
                </c:pt>
                <c:pt idx="32">
                  <c:v>20560.320166666661</c:v>
                </c:pt>
                <c:pt idx="33">
                  <c:v>33153.916451612909</c:v>
                </c:pt>
                <c:pt idx="34">
                  <c:v>41763.116583333343</c:v>
                </c:pt>
                <c:pt idx="35">
                  <c:v>62707.817096774197</c:v>
                </c:pt>
                <c:pt idx="36">
                  <c:v>128663.1642900334</c:v>
                </c:pt>
                <c:pt idx="37">
                  <c:v>27471.948621445608</c:v>
                </c:pt>
                <c:pt idx="38">
                  <c:v>24481.374012994729</c:v>
                </c:pt>
                <c:pt idx="39">
                  <c:v>3005.845481153754</c:v>
                </c:pt>
                <c:pt idx="40">
                  <c:v>14902.264356548259</c:v>
                </c:pt>
                <c:pt idx="41">
                  <c:v>26369.705274021351</c:v>
                </c:pt>
                <c:pt idx="42">
                  <c:v>15667.626734673</c:v>
                </c:pt>
                <c:pt idx="43">
                  <c:v>36354.718646771013</c:v>
                </c:pt>
                <c:pt idx="44">
                  <c:v>41752.21400247344</c:v>
                </c:pt>
                <c:pt idx="45">
                  <c:v>23199.38345662965</c:v>
                </c:pt>
                <c:pt idx="46">
                  <c:v>36536.534304815927</c:v>
                </c:pt>
                <c:pt idx="47">
                  <c:v>77455.320375931537</c:v>
                </c:pt>
                <c:pt idx="48">
                  <c:v>82430.382794154793</c:v>
                </c:pt>
                <c:pt idx="49">
                  <c:v>50190.553106749518</c:v>
                </c:pt>
                <c:pt idx="50">
                  <c:v>64800.813265187608</c:v>
                </c:pt>
                <c:pt idx="51">
                  <c:v>21583.30146016258</c:v>
                </c:pt>
                <c:pt idx="52">
                  <c:v>19430.8202468702</c:v>
                </c:pt>
                <c:pt idx="53">
                  <c:v>6466.3084672174537</c:v>
                </c:pt>
                <c:pt idx="54">
                  <c:v>35400.726168152447</c:v>
                </c:pt>
                <c:pt idx="55">
                  <c:v>32161.5752942689</c:v>
                </c:pt>
                <c:pt idx="56">
                  <c:v>54136.492069442633</c:v>
                </c:pt>
                <c:pt idx="57">
                  <c:v>41382.252667271328</c:v>
                </c:pt>
                <c:pt idx="58">
                  <c:v>41196.989222251999</c:v>
                </c:pt>
                <c:pt idx="59">
                  <c:v>69144.292653958008</c:v>
                </c:pt>
                <c:pt idx="60">
                  <c:v>82665.266297993207</c:v>
                </c:pt>
                <c:pt idx="61">
                  <c:v>90623.286397701988</c:v>
                </c:pt>
                <c:pt idx="62">
                  <c:v>26013.84516168476</c:v>
                </c:pt>
                <c:pt idx="63">
                  <c:v>25675.725783372221</c:v>
                </c:pt>
                <c:pt idx="64">
                  <c:v>16778.477422465159</c:v>
                </c:pt>
                <c:pt idx="65">
                  <c:v>4490.0022572824382</c:v>
                </c:pt>
                <c:pt idx="66">
                  <c:v>28049.018577692259</c:v>
                </c:pt>
                <c:pt idx="67">
                  <c:v>57619.565658568798</c:v>
                </c:pt>
                <c:pt idx="68">
                  <c:v>23276.89660105704</c:v>
                </c:pt>
                <c:pt idx="69">
                  <c:v>25143.106470338349</c:v>
                </c:pt>
                <c:pt idx="70">
                  <c:v>45063.492609180263</c:v>
                </c:pt>
                <c:pt idx="71">
                  <c:v>68601.478214373215</c:v>
                </c:pt>
                <c:pt idx="72">
                  <c:v>76222.927857142771</c:v>
                </c:pt>
                <c:pt idx="73">
                  <c:v>70242.620166666806</c:v>
                </c:pt>
                <c:pt idx="74">
                  <c:v>8373.4541935483721</c:v>
                </c:pt>
                <c:pt idx="75">
                  <c:v>-10049.284916666669</c:v>
                </c:pt>
                <c:pt idx="76">
                  <c:v>21190.71403225806</c:v>
                </c:pt>
                <c:pt idx="77">
                  <c:v>35726.879838709669</c:v>
                </c:pt>
                <c:pt idx="78">
                  <c:v>35273.956696428599</c:v>
                </c:pt>
                <c:pt idx="79">
                  <c:v>20858.032661290319</c:v>
                </c:pt>
                <c:pt idx="80">
                  <c:v>49142.67525</c:v>
                </c:pt>
                <c:pt idx="81">
                  <c:v>27031.456290322581</c:v>
                </c:pt>
                <c:pt idx="82">
                  <c:v>27079.89466666666</c:v>
                </c:pt>
                <c:pt idx="83">
                  <c:v>54231.641451612879</c:v>
                </c:pt>
                <c:pt idx="84">
                  <c:v>62589.244743589719</c:v>
                </c:pt>
                <c:pt idx="85">
                  <c:v>40130.955083333327</c:v>
                </c:pt>
                <c:pt idx="86">
                  <c:v>9116.3814516129096</c:v>
                </c:pt>
                <c:pt idx="87">
                  <c:v>17604.258583333321</c:v>
                </c:pt>
                <c:pt idx="88">
                  <c:v>21730.005645161302</c:v>
                </c:pt>
                <c:pt idx="89">
                  <c:v>39502.142983870966</c:v>
                </c:pt>
                <c:pt idx="90">
                  <c:v>31819.418750000019</c:v>
                </c:pt>
                <c:pt idx="91">
                  <c:v>18079.49072580646</c:v>
                </c:pt>
                <c:pt idx="92">
                  <c:v>35206.520250000001</c:v>
                </c:pt>
                <c:pt idx="93">
                  <c:v>24944.276935483871</c:v>
                </c:pt>
                <c:pt idx="94">
                  <c:v>57905.245833333327</c:v>
                </c:pt>
                <c:pt idx="95">
                  <c:v>62992.590384615338</c:v>
                </c:pt>
                <c:pt idx="96">
                  <c:v>54083.85975870143</c:v>
                </c:pt>
                <c:pt idx="97">
                  <c:v>52359.144712465153</c:v>
                </c:pt>
                <c:pt idx="98">
                  <c:v>31691.84667363808</c:v>
                </c:pt>
                <c:pt idx="99">
                  <c:v>32644.180351196661</c:v>
                </c:pt>
                <c:pt idx="100">
                  <c:v>14870.882832783749</c:v>
                </c:pt>
                <c:pt idx="101">
                  <c:v>6495.0525388425312</c:v>
                </c:pt>
                <c:pt idx="102">
                  <c:v>11310.70176119654</c:v>
                </c:pt>
                <c:pt idx="103">
                  <c:v>16186.143635068311</c:v>
                </c:pt>
                <c:pt idx="104">
                  <c:v>16514.555100072801</c:v>
                </c:pt>
                <c:pt idx="105">
                  <c:v>14218.31427628617</c:v>
                </c:pt>
                <c:pt idx="106">
                  <c:v>20870.489080237399</c:v>
                </c:pt>
                <c:pt idx="107">
                  <c:v>27513.90258932201</c:v>
                </c:pt>
                <c:pt idx="108">
                  <c:v>33863.599758782373</c:v>
                </c:pt>
                <c:pt idx="109">
                  <c:v>3922.343475722661</c:v>
                </c:pt>
                <c:pt idx="110">
                  <c:v>11081.52671587123</c:v>
                </c:pt>
                <c:pt idx="111">
                  <c:v>-15150.58493286729</c:v>
                </c:pt>
                <c:pt idx="112">
                  <c:v>8184.084041347347</c:v>
                </c:pt>
                <c:pt idx="113">
                  <c:v>18248.813503372879</c:v>
                </c:pt>
                <c:pt idx="114">
                  <c:v>18433.932693523358</c:v>
                </c:pt>
                <c:pt idx="115">
                  <c:v>7110.0600048900233</c:v>
                </c:pt>
                <c:pt idx="116">
                  <c:v>8857.7884631730485</c:v>
                </c:pt>
                <c:pt idx="117">
                  <c:v>6896.4504074790129</c:v>
                </c:pt>
                <c:pt idx="118">
                  <c:v>11470.7109789723</c:v>
                </c:pt>
                <c:pt idx="119">
                  <c:v>18308.457056492502</c:v>
                </c:pt>
                <c:pt idx="120">
                  <c:v>49745.564426613288</c:v>
                </c:pt>
                <c:pt idx="121">
                  <c:v>36256.090552316236</c:v>
                </c:pt>
                <c:pt idx="122">
                  <c:v>67300.289119200985</c:v>
                </c:pt>
                <c:pt idx="123">
                  <c:v>3379.2345099476602</c:v>
                </c:pt>
                <c:pt idx="124">
                  <c:v>23117.74056387629</c:v>
                </c:pt>
                <c:pt idx="125">
                  <c:v>31748.583997961901</c:v>
                </c:pt>
                <c:pt idx="126">
                  <c:v>24419.271393701969</c:v>
                </c:pt>
                <c:pt idx="127">
                  <c:v>14606.042746979731</c:v>
                </c:pt>
                <c:pt idx="128">
                  <c:v>35349.150352110722</c:v>
                </c:pt>
                <c:pt idx="129">
                  <c:v>68298.793206893359</c:v>
                </c:pt>
                <c:pt idx="130">
                  <c:v>39595.655306549234</c:v>
                </c:pt>
                <c:pt idx="131">
                  <c:v>65014.214433613583</c:v>
                </c:pt>
                <c:pt idx="132">
                  <c:v>73624.131333333324</c:v>
                </c:pt>
                <c:pt idx="133">
                  <c:v>70037.362999999968</c:v>
                </c:pt>
                <c:pt idx="134">
                  <c:v>42406.607096774198</c:v>
                </c:pt>
                <c:pt idx="135">
                  <c:v>10107.839083333331</c:v>
                </c:pt>
                <c:pt idx="136">
                  <c:v>4153.894596774192</c:v>
                </c:pt>
                <c:pt idx="137">
                  <c:v>29164.3243548387</c:v>
                </c:pt>
                <c:pt idx="138">
                  <c:v>4648.8610714285696</c:v>
                </c:pt>
                <c:pt idx="139">
                  <c:v>2505.2670967741942</c:v>
                </c:pt>
                <c:pt idx="140">
                  <c:v>23632.931166666669</c:v>
                </c:pt>
                <c:pt idx="141">
                  <c:v>9175.175483870973</c:v>
                </c:pt>
                <c:pt idx="142">
                  <c:v>17468.374416666658</c:v>
                </c:pt>
                <c:pt idx="143">
                  <c:v>47300.050322580617</c:v>
                </c:pt>
                <c:pt idx="144">
                  <c:v>10964.452558139539</c:v>
                </c:pt>
                <c:pt idx="145">
                  <c:v>40431.269083333289</c:v>
                </c:pt>
                <c:pt idx="146">
                  <c:v>13273.837419354841</c:v>
                </c:pt>
                <c:pt idx="147">
                  <c:v>-779.85541666666973</c:v>
                </c:pt>
                <c:pt idx="148">
                  <c:v>2931.6074193548411</c:v>
                </c:pt>
                <c:pt idx="149">
                  <c:v>5884.9133980697916</c:v>
                </c:pt>
                <c:pt idx="150">
                  <c:v>43096.418095147332</c:v>
                </c:pt>
                <c:pt idx="151">
                  <c:v>24484.32876701291</c:v>
                </c:pt>
                <c:pt idx="152">
                  <c:v>32201.4156552573</c:v>
                </c:pt>
                <c:pt idx="153">
                  <c:v>22921.06097982217</c:v>
                </c:pt>
                <c:pt idx="154">
                  <c:v>32381.678684137019</c:v>
                </c:pt>
                <c:pt idx="155">
                  <c:v>31346.078435616571</c:v>
                </c:pt>
              </c:numCache>
            </c:numRef>
          </c:yVal>
          <c:smooth val="0"/>
        </c:ser>
        <c:ser>
          <c:idx val="1"/>
          <c:order val="1"/>
          <c:spPr>
            <a:ln w="12700">
              <a:solidFill>
                <a:srgbClr val="000000"/>
              </a:solidFill>
              <a:prstDash val="sysDash"/>
            </a:ln>
          </c:spPr>
          <c:marker>
            <c:symbol val="none"/>
          </c:marker>
          <c:xVal>
            <c:numRef>
              <c:f>'Total F'!$AK$1:$AK$2</c:f>
              <c:numCache>
                <c:formatCode>General</c:formatCode>
                <c:ptCount val="2"/>
                <c:pt idx="0">
                  <c:v>1998</c:v>
                </c:pt>
                <c:pt idx="1">
                  <c:v>2015</c:v>
                </c:pt>
              </c:numCache>
            </c:numRef>
          </c:xVal>
          <c:yVal>
            <c:numRef>
              <c:f>'Total F'!$AL$1:$AL$2</c:f>
              <c:numCache>
                <c:formatCode>General</c:formatCode>
                <c:ptCount val="2"/>
                <c:pt idx="0">
                  <c:v>0</c:v>
                </c:pt>
                <c:pt idx="1">
                  <c:v>0</c:v>
                </c:pt>
              </c:numCache>
            </c:numRef>
          </c:yVal>
          <c:smooth val="0"/>
        </c:ser>
        <c:dLbls>
          <c:showLegendKey val="0"/>
          <c:showVal val="0"/>
          <c:showCatName val="0"/>
          <c:showSerName val="0"/>
          <c:showPercent val="0"/>
          <c:showBubbleSize val="0"/>
        </c:dLbls>
        <c:axId val="256679936"/>
        <c:axId val="256681856"/>
      </c:scatterChart>
      <c:valAx>
        <c:axId val="256679936"/>
        <c:scaling>
          <c:orientation val="minMax"/>
          <c:max val="2012"/>
          <c:min val="1998"/>
        </c:scaling>
        <c:delete val="0"/>
        <c:axPos val="b"/>
        <c:title>
          <c:tx>
            <c:rich>
              <a:bodyPr/>
              <a:lstStyle/>
              <a:p>
                <a:pPr>
                  <a:defRPr sz="1100" b="0" i="0" u="none" strike="noStrike" baseline="0">
                    <a:solidFill>
                      <a:srgbClr val="000000"/>
                    </a:solidFill>
                    <a:latin typeface="Arial"/>
                    <a:ea typeface="Arial"/>
                    <a:cs typeface="Arial"/>
                  </a:defRPr>
                </a:pPr>
                <a:r>
                  <a:rPr lang="en-CA" sz="1100" b="0"/>
                  <a:t>Year</a:t>
                </a:r>
              </a:p>
            </c:rich>
          </c:tx>
          <c:layout>
            <c:manualLayout>
              <c:xMode val="edge"/>
              <c:yMode val="edge"/>
              <c:x val="0.52763295099061502"/>
              <c:y val="0.87798579059946702"/>
            </c:manualLayout>
          </c:layout>
          <c:overlay val="0"/>
          <c:spPr>
            <a:noFill/>
            <a:ln w="25400">
              <a:noFill/>
            </a:ln>
          </c:spPr>
        </c:title>
        <c:numFmt formatCode="0" sourceLinked="0"/>
        <c:majorTickMark val="cross"/>
        <c:minorTickMark val="in"/>
        <c:tickLblPos val="nextTo"/>
        <c:spPr>
          <a:ln w="12700">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da-DK"/>
          </a:p>
        </c:txPr>
        <c:crossAx val="256681856"/>
        <c:crossesAt val="-10000000"/>
        <c:crossBetween val="midCat"/>
        <c:majorUnit val="1"/>
        <c:minorUnit val="0.25"/>
      </c:valAx>
      <c:valAx>
        <c:axId val="256681856"/>
        <c:scaling>
          <c:orientation val="minMax"/>
        </c:scaling>
        <c:delete val="0"/>
        <c:axPos val="l"/>
        <c:title>
          <c:tx>
            <c:rich>
              <a:bodyPr/>
              <a:lstStyle/>
              <a:p>
                <a:pPr>
                  <a:defRPr sz="1100" b="0" i="0" u="none" strike="noStrike" baseline="0">
                    <a:solidFill>
                      <a:srgbClr val="000000"/>
                    </a:solidFill>
                    <a:latin typeface="Arial"/>
                    <a:ea typeface="Arial"/>
                    <a:cs typeface="Arial"/>
                  </a:defRPr>
                </a:pPr>
                <a:r>
                  <a:rPr lang="en-CA" sz="1100" b="0" i="0" u="none" strike="noStrike" baseline="0">
                    <a:solidFill>
                      <a:srgbClr val="000000"/>
                    </a:solidFill>
                    <a:latin typeface="Arial"/>
                    <a:cs typeface="Arial"/>
                  </a:rPr>
                  <a:t>Transport (m</a:t>
                </a:r>
                <a:r>
                  <a:rPr lang="en-CA" sz="1100" b="0" i="0" u="none" strike="noStrike" baseline="30000">
                    <a:solidFill>
                      <a:srgbClr val="000000"/>
                    </a:solidFill>
                    <a:latin typeface="Arial"/>
                    <a:cs typeface="Arial"/>
                  </a:rPr>
                  <a:t>3</a:t>
                </a:r>
                <a:r>
                  <a:rPr lang="en-CA" sz="1100" b="0" i="0" u="none" strike="noStrike" baseline="0">
                    <a:solidFill>
                      <a:srgbClr val="000000"/>
                    </a:solidFill>
                    <a:latin typeface="Arial"/>
                    <a:cs typeface="Arial"/>
                  </a:rPr>
                  <a:t>/sec)</a:t>
                </a:r>
                <a:endParaRPr lang="en-CA" sz="1100" b="0"/>
              </a:p>
            </c:rich>
          </c:tx>
          <c:layout>
            <c:manualLayout>
              <c:xMode val="edge"/>
              <c:yMode val="edge"/>
              <c:x val="3.4758428919012802E-4"/>
              <c:y val="0.25464225791404699"/>
            </c:manualLayout>
          </c:layout>
          <c:overlay val="0"/>
          <c:spPr>
            <a:noFill/>
            <a:ln w="25400">
              <a:noFill/>
            </a:ln>
          </c:spPr>
        </c:title>
        <c:numFmt formatCode="#,##0" sourceLinked="0"/>
        <c:majorTickMark val="cross"/>
        <c:minorTickMark val="in"/>
        <c:tickLblPos val="nextTo"/>
        <c:spPr>
          <a:ln w="12700">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da-DK"/>
          </a:p>
        </c:txPr>
        <c:crossAx val="256679936"/>
        <c:crossesAt val="1998"/>
        <c:crossBetween val="midCat"/>
      </c:valAx>
      <c:spPr>
        <a:solidFill>
          <a:srgbClr val="FFFFFF"/>
        </a:solidFill>
        <a:ln w="12700">
          <a:solidFill>
            <a:srgbClr val="000000"/>
          </a:solidFill>
          <a:prstDash val="solid"/>
        </a:ln>
      </c:spPr>
    </c:plotArea>
    <c:plotVisOnly val="1"/>
    <c:dispBlanksAs val="gap"/>
    <c:showDLblsOverMax val="0"/>
  </c:chart>
  <c:spPr>
    <a:solidFill>
      <a:srgbClr val="FFFFFF"/>
    </a:solidFill>
    <a:ln w="9525">
      <a:noFill/>
    </a:ln>
  </c:spPr>
  <c:txPr>
    <a:bodyPr/>
    <a:lstStyle/>
    <a:p>
      <a:pPr>
        <a:defRPr sz="875" b="0" i="0" u="none" strike="noStrike" baseline="0">
          <a:solidFill>
            <a:srgbClr val="000000"/>
          </a:solidFill>
          <a:latin typeface="Arial"/>
          <a:ea typeface="Arial"/>
          <a:cs typeface="Arial"/>
        </a:defRPr>
      </a:pPr>
      <a:endParaRPr lang="da-DK"/>
    </a:p>
  </c:txPr>
</c:chartSpace>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23</TotalTime>
  <Pages>25</Pages>
  <Words>3542</Words>
  <Characters>21611</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DMI</Company>
  <LinksUpToDate>false</LinksUpToDate>
  <CharactersWithSpaces>25103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L. Langen</dc:creator>
  <cp:lastModifiedBy>Peter L. Langen</cp:lastModifiedBy>
  <cp:revision>11</cp:revision>
  <dcterms:created xsi:type="dcterms:W3CDTF">2016-09-15T10:32:00Z</dcterms:created>
  <dcterms:modified xsi:type="dcterms:W3CDTF">2016-09-27T10:49:00Z</dcterms:modified>
</cp:coreProperties>
</file>